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7D" w:rsidRPr="003931E0" w:rsidRDefault="00604D7D" w:rsidP="00604D7D">
      <w:pPr>
        <w:shd w:val="clear" w:color="auto" w:fill="365F91" w:themeFill="accent1" w:themeFillShade="BF"/>
        <w:ind w:left="-426" w:right="-567"/>
        <w:contextualSpacing/>
        <w:jc w:val="center"/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</w:pPr>
      <w:r w:rsidRPr="003931E0"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>INDICACIONES PARA LA PRESENTACIÓN DE PONENCIAS ORALES</w:t>
      </w:r>
    </w:p>
    <w:p w:rsidR="00604D7D" w:rsidRPr="0095512C" w:rsidRDefault="00604D7D" w:rsidP="00604D7D">
      <w:pPr>
        <w:contextualSpacing/>
        <w:rPr>
          <w:rFonts w:ascii="Papyrus" w:hAnsi="Papyrus"/>
          <w:b/>
          <w:color w:val="0070C0"/>
          <w:sz w:val="18"/>
          <w:szCs w:val="18"/>
          <w:lang w:val="es-US"/>
        </w:rPr>
      </w:pPr>
    </w:p>
    <w:p w:rsidR="00B14EF8" w:rsidRDefault="00B14EF8" w:rsidP="00B14EF8">
      <w:pPr>
        <w:pStyle w:val="Textoindependiente"/>
        <w:ind w:left="-851" w:right="-993"/>
        <w:jc w:val="center"/>
        <w:rPr>
          <w:rFonts w:asciiTheme="minorHAnsi" w:eastAsiaTheme="minorHAnsi" w:hAnsiTheme="minorHAnsi" w:cstheme="minorBidi"/>
          <w:lang w:val="es-US"/>
        </w:rPr>
      </w:pPr>
      <w:r w:rsidRPr="000A3465">
        <w:rPr>
          <w:rFonts w:asciiTheme="minorHAnsi" w:eastAsiaTheme="minorHAnsi" w:hAnsiTheme="minorHAnsi" w:cstheme="minorBidi"/>
          <w:lang w:val="es-US"/>
        </w:rPr>
        <w:t xml:space="preserve">Los resúmenes deben ser enviados </w:t>
      </w:r>
      <w:r w:rsidRPr="00266E7C">
        <w:rPr>
          <w:rFonts w:asciiTheme="minorHAnsi" w:eastAsiaTheme="minorHAnsi" w:hAnsiTheme="minorHAnsi" w:cstheme="minorBidi"/>
          <w:b/>
          <w:u w:val="single"/>
          <w:lang w:val="es-US"/>
        </w:rPr>
        <w:t xml:space="preserve">hasta el </w:t>
      </w:r>
      <w:r w:rsidR="00F95D6E">
        <w:rPr>
          <w:rFonts w:asciiTheme="minorHAnsi" w:eastAsiaTheme="minorHAnsi" w:hAnsiTheme="minorHAnsi" w:cstheme="minorBidi"/>
          <w:b/>
          <w:u w:val="single"/>
          <w:lang w:val="es-US"/>
        </w:rPr>
        <w:t>2</w:t>
      </w:r>
      <w:r w:rsidR="004964E4">
        <w:rPr>
          <w:rFonts w:asciiTheme="minorHAnsi" w:eastAsiaTheme="minorHAnsi" w:hAnsiTheme="minorHAnsi" w:cstheme="minorBidi"/>
          <w:b/>
          <w:u w:val="single"/>
          <w:lang w:val="es-US"/>
        </w:rPr>
        <w:t>3</w:t>
      </w:r>
      <w:bookmarkStart w:id="0" w:name="_GoBack"/>
      <w:bookmarkEnd w:id="0"/>
      <w:r w:rsidR="00F95D6E">
        <w:rPr>
          <w:rFonts w:asciiTheme="minorHAnsi" w:eastAsiaTheme="minorHAnsi" w:hAnsiTheme="minorHAnsi" w:cstheme="minorBidi"/>
          <w:b/>
          <w:u w:val="single"/>
          <w:lang w:val="es-US"/>
        </w:rPr>
        <w:t xml:space="preserve"> de julio de 2023</w:t>
      </w:r>
      <w:r w:rsidRPr="000A3465">
        <w:rPr>
          <w:rFonts w:asciiTheme="minorHAnsi" w:eastAsiaTheme="minorHAnsi" w:hAnsiTheme="minorHAnsi" w:cstheme="minorBidi"/>
          <w:lang w:val="es-US"/>
        </w:rPr>
        <w:t xml:space="preserve"> al correo del evento:</w:t>
      </w:r>
    </w:p>
    <w:p w:rsidR="00E347CF" w:rsidRDefault="00E347CF" w:rsidP="00B14EF8">
      <w:pPr>
        <w:pStyle w:val="Textoindependiente"/>
        <w:ind w:left="-851" w:right="-993"/>
        <w:jc w:val="center"/>
      </w:pPr>
    </w:p>
    <w:p w:rsidR="00B14EF8" w:rsidRPr="00E347CF" w:rsidRDefault="009F4B91" w:rsidP="00B14EF8">
      <w:pPr>
        <w:pStyle w:val="Textoindependiente"/>
        <w:ind w:left="-851" w:right="-993"/>
        <w:jc w:val="center"/>
        <w:rPr>
          <w:rFonts w:asciiTheme="minorHAnsi" w:eastAsiaTheme="minorHAnsi" w:hAnsiTheme="minorHAnsi" w:cstheme="minorBidi"/>
          <w:b/>
          <w:color w:val="0000FF" w:themeColor="hyperlink"/>
          <w:sz w:val="28"/>
          <w:szCs w:val="28"/>
          <w:u w:val="single"/>
        </w:rPr>
      </w:pPr>
      <w:hyperlink r:id="rId7" w:history="1">
        <w:r w:rsidR="00F95D6E" w:rsidRPr="00EF16EC">
          <w:rPr>
            <w:rStyle w:val="Hipervnculo"/>
            <w:rFonts w:asciiTheme="minorHAnsi" w:eastAsiaTheme="minorHAnsi" w:hAnsiTheme="minorHAnsi" w:cstheme="minorBidi"/>
            <w:b/>
            <w:sz w:val="28"/>
            <w:szCs w:val="28"/>
          </w:rPr>
          <w:t>investigacion@binario.com.ec</w:t>
        </w:r>
      </w:hyperlink>
    </w:p>
    <w:p w:rsidR="00B14EF8" w:rsidRPr="008864DD" w:rsidRDefault="00B14EF8" w:rsidP="00B14EF8">
      <w:pPr>
        <w:ind w:left="-851" w:right="-993"/>
        <w:jc w:val="both"/>
      </w:pP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>Los resúmenes de las ponencias solo serán evaluados si cumplen con el formato establecido, el mismo se encuentra publicado en la página web del evento como archivo descargable.</w:t>
      </w:r>
    </w:p>
    <w:p w:rsidR="00B14EF8" w:rsidRPr="003D0D14" w:rsidRDefault="00B14EF8" w:rsidP="00B14EF8">
      <w:pPr>
        <w:pStyle w:val="Prrafodelista"/>
        <w:numPr>
          <w:ilvl w:val="0"/>
          <w:numId w:val="10"/>
        </w:numPr>
        <w:spacing w:after="0" w:line="259" w:lineRule="auto"/>
        <w:ind w:left="-284" w:right="-567" w:hanging="142"/>
        <w:jc w:val="both"/>
        <w:rPr>
          <w:lang w:val="es-EC"/>
        </w:rPr>
      </w:pPr>
      <w:r w:rsidRPr="000C2A66">
        <w:rPr>
          <w:lang w:val="es-US"/>
        </w:rPr>
        <w:t xml:space="preserve">La cantidad máxima de autores permitida para participar en cada ponencia es de </w:t>
      </w:r>
      <w:r>
        <w:rPr>
          <w:lang w:val="es-US"/>
        </w:rPr>
        <w:t>cuatro</w:t>
      </w:r>
      <w:r w:rsidRPr="000C2A66">
        <w:rPr>
          <w:lang w:val="es-US"/>
        </w:rPr>
        <w:t xml:space="preserve"> (</w:t>
      </w:r>
      <w:r>
        <w:rPr>
          <w:lang w:val="es-US"/>
        </w:rPr>
        <w:t>4</w:t>
      </w:r>
      <w:r w:rsidRPr="000C2A66">
        <w:rPr>
          <w:lang w:val="es-US"/>
        </w:rPr>
        <w:t>) autores.</w:t>
      </w:r>
      <w:r w:rsidRPr="003D0D14">
        <w:rPr>
          <w:lang w:val="es-EC"/>
        </w:rPr>
        <w:t xml:space="preserve"> </w:t>
      </w:r>
      <w:r>
        <w:rPr>
          <w:lang w:val="es-EC"/>
        </w:rPr>
        <w:t xml:space="preserve">Corresponde cancelar </w:t>
      </w:r>
      <w:r w:rsidR="00F95D6E">
        <w:rPr>
          <w:color w:val="FF0000"/>
          <w:lang w:val="es-EC"/>
        </w:rPr>
        <w:t>-</w:t>
      </w:r>
      <w:r>
        <w:rPr>
          <w:lang w:val="es-EC"/>
        </w:rPr>
        <w:t xml:space="preserve"> por autor para presentación de ponencia, </w:t>
      </w:r>
      <w:r w:rsidR="00414CBA">
        <w:rPr>
          <w:color w:val="FF0000"/>
          <w:lang w:val="es-EC"/>
        </w:rPr>
        <w:t>-</w:t>
      </w:r>
      <w:r w:rsidRPr="00F95D6E">
        <w:rPr>
          <w:color w:val="FF0000"/>
          <w:lang w:val="es-EC"/>
        </w:rPr>
        <w:t xml:space="preserve"> </w:t>
      </w:r>
      <w:r>
        <w:rPr>
          <w:lang w:val="es-EC"/>
        </w:rPr>
        <w:t xml:space="preserve">si tiene más de un autor. </w:t>
      </w:r>
      <w:r w:rsidR="00414CBA">
        <w:rPr>
          <w:color w:val="FF0000"/>
          <w:lang w:val="es-EC"/>
        </w:rPr>
        <w:t>-</w:t>
      </w:r>
      <w:r w:rsidRPr="00F95D6E">
        <w:rPr>
          <w:color w:val="FF0000"/>
          <w:lang w:val="es-EC"/>
        </w:rPr>
        <w:t xml:space="preserve"> </w:t>
      </w:r>
      <w:r>
        <w:rPr>
          <w:lang w:val="es-EC"/>
        </w:rPr>
        <w:t>Por autor para publicación de libro con ISBN.</w:t>
      </w: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>Se permite un máximo de dos (2) trabajos por cada autor inscrito.</w:t>
      </w: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spacing w:val="4"/>
          <w:lang w:val="es-US"/>
        </w:rPr>
        <w:t xml:space="preserve">Una </w:t>
      </w:r>
      <w:r w:rsidRPr="000C2A66">
        <w:rPr>
          <w:spacing w:val="9"/>
          <w:lang w:val="es-US"/>
        </w:rPr>
        <w:t xml:space="preserve">vez </w:t>
      </w:r>
      <w:r w:rsidRPr="000C2A66">
        <w:rPr>
          <w:lang w:val="es-US"/>
        </w:rPr>
        <w:t>recibido el resumen de la ponencia en el formato respectivo, se enviará confirmación de recepción.</w:t>
      </w: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>Todos los resúmenes son enviados al Comité Académico para su respectiva evaluación.</w:t>
      </w:r>
    </w:p>
    <w:p w:rsidR="00B14EF8" w:rsidRPr="000C2A66" w:rsidRDefault="00B14EF8" w:rsidP="00B14EF8">
      <w:pPr>
        <w:pStyle w:val="Prrafodelista"/>
        <w:numPr>
          <w:ilvl w:val="0"/>
          <w:numId w:val="5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 xml:space="preserve">Las </w:t>
      </w:r>
      <w:r w:rsidRPr="000C2A66">
        <w:rPr>
          <w:spacing w:val="2"/>
          <w:lang w:val="es-US"/>
        </w:rPr>
        <w:t xml:space="preserve">evaluaciones </w:t>
      </w:r>
      <w:r w:rsidRPr="000C2A66">
        <w:rPr>
          <w:spacing w:val="-3"/>
          <w:lang w:val="es-US"/>
        </w:rPr>
        <w:t xml:space="preserve">del Comité Académico </w:t>
      </w:r>
      <w:r w:rsidRPr="000C2A66">
        <w:rPr>
          <w:lang w:val="es-US"/>
        </w:rPr>
        <w:t>serán:</w:t>
      </w:r>
    </w:p>
    <w:p w:rsidR="00B14EF8" w:rsidRPr="0094764C" w:rsidRDefault="00B14EF8" w:rsidP="00B14EF8">
      <w:pPr>
        <w:pStyle w:val="Prrafodelista"/>
        <w:ind w:left="-284" w:right="-567"/>
        <w:jc w:val="both"/>
        <w:rPr>
          <w:lang w:val="es-US"/>
        </w:rPr>
      </w:pPr>
      <w:r>
        <w:t>*</w:t>
      </w:r>
      <w:r w:rsidRPr="000A3465">
        <w:t>Aceptado en su</w:t>
      </w:r>
      <w:r>
        <w:t xml:space="preserve"> </w:t>
      </w:r>
      <w:r w:rsidRPr="000A3465">
        <w:t>totalidad.</w:t>
      </w:r>
      <w:r>
        <w:t xml:space="preserve">            * </w:t>
      </w:r>
      <w:r w:rsidRPr="000A3465">
        <w:t>Aceptado</w:t>
      </w:r>
      <w:r>
        <w:t xml:space="preserve"> </w:t>
      </w:r>
      <w:r w:rsidRPr="0094764C">
        <w:rPr>
          <w:spacing w:val="2"/>
        </w:rPr>
        <w:t xml:space="preserve">con </w:t>
      </w:r>
      <w:r w:rsidRPr="0094764C">
        <w:rPr>
          <w:spacing w:val="-3"/>
        </w:rPr>
        <w:t xml:space="preserve">cambios </w:t>
      </w:r>
      <w:r w:rsidRPr="0094764C">
        <w:rPr>
          <w:spacing w:val="3"/>
        </w:rPr>
        <w:t>menores.</w:t>
      </w:r>
      <w:r>
        <w:rPr>
          <w:spacing w:val="3"/>
        </w:rPr>
        <w:t xml:space="preserve">              *</w:t>
      </w:r>
      <w:r w:rsidRPr="000A3465">
        <w:t>Rechazado.</w:t>
      </w:r>
    </w:p>
    <w:p w:rsidR="00B14EF8" w:rsidRPr="000C2A66" w:rsidRDefault="00B14EF8" w:rsidP="00B14EF8">
      <w:pPr>
        <w:pStyle w:val="Prrafodelista"/>
        <w:numPr>
          <w:ilvl w:val="0"/>
          <w:numId w:val="6"/>
        </w:numPr>
        <w:spacing w:after="0" w:line="259" w:lineRule="auto"/>
        <w:ind w:left="-284" w:right="-567" w:hanging="142"/>
        <w:jc w:val="both"/>
        <w:rPr>
          <w:lang w:val="es-US"/>
        </w:rPr>
      </w:pPr>
      <w:r w:rsidRPr="000C2A66">
        <w:rPr>
          <w:lang w:val="es-US"/>
        </w:rPr>
        <w:t>Los resúmenes aprobados con cambios menores tendrán un período máximo de cinco (5) días hábiles para realizar los ajustes respectivos (sin excepción).</w:t>
      </w:r>
    </w:p>
    <w:p w:rsidR="00B14EF8" w:rsidRPr="008864DD" w:rsidRDefault="00B14EF8" w:rsidP="00B14EF8">
      <w:pPr>
        <w:pStyle w:val="Prrafodelista"/>
        <w:numPr>
          <w:ilvl w:val="0"/>
          <w:numId w:val="6"/>
        </w:numPr>
        <w:spacing w:after="0" w:line="259" w:lineRule="auto"/>
        <w:ind w:left="-284" w:right="-567" w:hanging="142"/>
        <w:jc w:val="both"/>
      </w:pPr>
      <w:r w:rsidRPr="000C2A66">
        <w:rPr>
          <w:lang w:val="es-US"/>
        </w:rPr>
        <w:t>Los resúmenes de ponencias serán incluidos en el Libro de Memorias con registro ISBN.</w:t>
      </w:r>
    </w:p>
    <w:p w:rsidR="00B14EF8" w:rsidRPr="008864DD" w:rsidRDefault="00B14EF8" w:rsidP="00B14EF8">
      <w:pPr>
        <w:pStyle w:val="Prrafodelista"/>
        <w:numPr>
          <w:ilvl w:val="0"/>
          <w:numId w:val="6"/>
        </w:numPr>
        <w:spacing w:after="0" w:line="259" w:lineRule="auto"/>
        <w:ind w:left="-284" w:right="-567" w:hanging="142"/>
        <w:jc w:val="both"/>
      </w:pPr>
      <w:r w:rsidRPr="000C2A66">
        <w:rPr>
          <w:lang w:val="es-US"/>
        </w:rPr>
        <w:t>El Libro de Memorias será publicado en la página web del evento.</w:t>
      </w:r>
    </w:p>
    <w:p w:rsidR="00604D7D" w:rsidRPr="007E2EE0" w:rsidRDefault="00604D7D" w:rsidP="00604D7D">
      <w:pPr>
        <w:ind w:left="-900" w:right="-914"/>
        <w:jc w:val="both"/>
        <w:rPr>
          <w:rFonts w:ascii="Calibri" w:hAnsi="Calibri" w:cs="Arial"/>
          <w:b/>
          <w:lang w:val="es-PE"/>
        </w:rPr>
      </w:pPr>
    </w:p>
    <w:p w:rsidR="00604D7D" w:rsidRPr="007E2EE0" w:rsidRDefault="00604D7D" w:rsidP="00604D7D">
      <w:pPr>
        <w:ind w:left="-900" w:right="-914"/>
        <w:jc w:val="both"/>
        <w:rPr>
          <w:rFonts w:ascii="Calibri" w:hAnsi="Calibri" w:cs="Arial"/>
          <w:b/>
        </w:rPr>
      </w:pPr>
    </w:p>
    <w:p w:rsidR="00604D7D" w:rsidRPr="003931E0" w:rsidRDefault="00604D7D" w:rsidP="00604D7D">
      <w:pPr>
        <w:shd w:val="clear" w:color="auto" w:fill="365F91" w:themeFill="accent1" w:themeFillShade="BF"/>
        <w:ind w:left="-426" w:right="-567"/>
        <w:contextualSpacing/>
        <w:jc w:val="center"/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</w:pPr>
      <w:r w:rsidRPr="003931E0"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>INDICACIONES PARA LA FORMALIZAR LA INSCRIPCIÓN DE PONENC</w:t>
      </w:r>
      <w:r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>I</w:t>
      </w:r>
      <w:r w:rsidRPr="003931E0">
        <w:rPr>
          <w:rFonts w:asciiTheme="majorHAnsi" w:hAnsiTheme="majorHAnsi" w:cstheme="minorHAnsi"/>
          <w:b/>
          <w:color w:val="FFFFFF" w:themeColor="background1"/>
          <w:sz w:val="28"/>
          <w:szCs w:val="28"/>
          <w:u w:val="single"/>
          <w:lang w:val="es-US"/>
        </w:rPr>
        <w:t>AS</w:t>
      </w:r>
    </w:p>
    <w:p w:rsidR="00604D7D" w:rsidRDefault="00604D7D" w:rsidP="00604D7D">
      <w:pPr>
        <w:ind w:left="-900" w:right="-914"/>
        <w:jc w:val="both"/>
        <w:rPr>
          <w:rFonts w:ascii="Calibri" w:hAnsi="Calibri" w:cs="Arial"/>
          <w:b/>
        </w:rPr>
      </w:pPr>
    </w:p>
    <w:p w:rsidR="00604D7D" w:rsidRDefault="00604D7D" w:rsidP="00604D7D">
      <w:pPr>
        <w:ind w:left="-426" w:right="-709"/>
        <w:jc w:val="both"/>
        <w:rPr>
          <w:rFonts w:ascii="Calibri" w:hAnsi="Calibri" w:cs="Arial"/>
        </w:rPr>
      </w:pPr>
      <w:r w:rsidRPr="00331E8D">
        <w:rPr>
          <w:rFonts w:ascii="Calibri" w:hAnsi="Calibri" w:cs="Arial"/>
        </w:rPr>
        <w:t xml:space="preserve">Para incluir un trabajo de investigación en categoría de ponencias en la programación académica, es indispensable </w:t>
      </w:r>
      <w:r w:rsidRPr="00331E8D">
        <w:rPr>
          <w:rFonts w:ascii="Calibri" w:hAnsi="Calibri" w:cs="Arial"/>
          <w:u w:val="single"/>
        </w:rPr>
        <w:t>haber obtenido nuestra carta de aceptación</w:t>
      </w:r>
      <w:r w:rsidRPr="00331E8D">
        <w:rPr>
          <w:rFonts w:ascii="Calibri" w:hAnsi="Calibri" w:cs="Arial"/>
        </w:rPr>
        <w:t xml:space="preserve">, y </w:t>
      </w:r>
      <w:r>
        <w:rPr>
          <w:rFonts w:ascii="Calibri" w:hAnsi="Calibri" w:cs="Arial"/>
        </w:rPr>
        <w:t xml:space="preserve">posteriormente, en un período no mayor a siete (7) días hábiles </w:t>
      </w:r>
      <w:r w:rsidRPr="00331E8D">
        <w:rPr>
          <w:rFonts w:ascii="Calibri" w:hAnsi="Calibri" w:cs="Arial"/>
          <w:u w:val="single"/>
        </w:rPr>
        <w:t>haber efectuado el pago de inscripción</w:t>
      </w:r>
      <w:r w:rsidRPr="00331E8D">
        <w:rPr>
          <w:rFonts w:ascii="Calibri" w:hAnsi="Calibri" w:cs="Arial"/>
        </w:rPr>
        <w:t xml:space="preserve">. </w:t>
      </w:r>
    </w:p>
    <w:p w:rsidR="00604D7D" w:rsidRDefault="00604D7D" w:rsidP="00604D7D">
      <w:pPr>
        <w:ind w:left="-426" w:right="-709"/>
        <w:jc w:val="both"/>
        <w:rPr>
          <w:rFonts w:ascii="Calibri" w:hAnsi="Calibri" w:cs="Arial"/>
        </w:rPr>
      </w:pPr>
    </w:p>
    <w:p w:rsidR="00604D7D" w:rsidRPr="00331E8D" w:rsidRDefault="00604D7D" w:rsidP="00604D7D">
      <w:pPr>
        <w:ind w:left="-426" w:right="-709"/>
        <w:jc w:val="both"/>
        <w:rPr>
          <w:rFonts w:ascii="Calibri" w:hAnsi="Calibri" w:cs="Arial"/>
        </w:rPr>
      </w:pPr>
      <w:r w:rsidRPr="00331E8D">
        <w:rPr>
          <w:rFonts w:ascii="Calibri" w:hAnsi="Calibri" w:cs="Arial"/>
        </w:rPr>
        <w:t>Se desglosa información de costos:</w:t>
      </w:r>
    </w:p>
    <w:p w:rsidR="00604D7D" w:rsidRPr="00331E8D" w:rsidRDefault="00604D7D" w:rsidP="00604D7D">
      <w:pPr>
        <w:ind w:left="-426" w:right="-709"/>
        <w:jc w:val="both"/>
        <w:rPr>
          <w:rFonts w:ascii="Calibri" w:hAnsi="Calibri" w:cs="Arial"/>
        </w:rPr>
      </w:pPr>
    </w:p>
    <w:p w:rsidR="00604D7D" w:rsidRPr="00C115B4" w:rsidRDefault="00604D7D" w:rsidP="00604D7D">
      <w:pPr>
        <w:pStyle w:val="Prrafodelista"/>
        <w:numPr>
          <w:ilvl w:val="0"/>
          <w:numId w:val="8"/>
        </w:numPr>
        <w:spacing w:line="260" w:lineRule="exact"/>
        <w:ind w:right="-709"/>
        <w:jc w:val="both"/>
        <w:rPr>
          <w:rFonts w:cs="Arial"/>
        </w:rPr>
      </w:pPr>
      <w:r w:rsidRPr="00C115B4">
        <w:rPr>
          <w:rFonts w:cs="Arial"/>
        </w:rPr>
        <w:t>Se debe depositar o transferir a:</w:t>
      </w:r>
    </w:p>
    <w:p w:rsidR="00604D7D" w:rsidRPr="00FD5A03" w:rsidRDefault="00604D7D" w:rsidP="00604D7D">
      <w:pPr>
        <w:pStyle w:val="Prrafodelista"/>
        <w:spacing w:line="260" w:lineRule="exact"/>
        <w:ind w:left="-132" w:right="-709"/>
        <w:jc w:val="both"/>
        <w:rPr>
          <w:rFonts w:cs="Arial"/>
          <w:b/>
          <w:u w:val="single"/>
        </w:rPr>
      </w:pPr>
      <w:r w:rsidRPr="00C115B4">
        <w:rPr>
          <w:rFonts w:cs="Arial"/>
          <w:b/>
        </w:rPr>
        <w:t xml:space="preserve">Banco Pichincha: Cta. </w:t>
      </w:r>
      <w:r w:rsidRPr="00FD5A03">
        <w:rPr>
          <w:rFonts w:cs="Arial"/>
          <w:b/>
        </w:rPr>
        <w:t>Cte. #2100184041, IITEC, S.A.; RUC: 0993091626001; Telf.: +593 99 035 9268</w:t>
      </w:r>
      <w:r w:rsidRPr="00FD5A03">
        <w:rPr>
          <w:rFonts w:cs="Arial"/>
          <w:b/>
          <w:u w:val="single"/>
        </w:rPr>
        <w:t xml:space="preserve">. </w:t>
      </w:r>
    </w:p>
    <w:p w:rsidR="00604D7D" w:rsidRPr="00FD5A03" w:rsidRDefault="00604D7D" w:rsidP="00604D7D">
      <w:pPr>
        <w:pStyle w:val="Prrafodelista"/>
        <w:spacing w:line="260" w:lineRule="exact"/>
        <w:ind w:left="-132" w:right="-709"/>
        <w:jc w:val="both"/>
        <w:rPr>
          <w:rFonts w:cs="Arial"/>
          <w:b/>
          <w:u w:val="single"/>
        </w:rPr>
      </w:pPr>
    </w:p>
    <w:p w:rsidR="00604D7D" w:rsidRPr="00607A2C" w:rsidRDefault="00604D7D" w:rsidP="00604D7D">
      <w:pPr>
        <w:pStyle w:val="Prrafodelista"/>
        <w:numPr>
          <w:ilvl w:val="0"/>
          <w:numId w:val="8"/>
        </w:numPr>
        <w:spacing w:line="260" w:lineRule="exact"/>
        <w:ind w:right="-709"/>
        <w:jc w:val="both"/>
        <w:rPr>
          <w:rFonts w:cs="Arial"/>
          <w:sz w:val="24"/>
          <w:szCs w:val="24"/>
        </w:rPr>
      </w:pPr>
      <w:r w:rsidRPr="00C115B4">
        <w:rPr>
          <w:rFonts w:cs="Arial"/>
        </w:rPr>
        <w:t xml:space="preserve">Una vez efectuado el pago, se debe enviar el comprobante de transacción al correo: </w:t>
      </w:r>
    </w:p>
    <w:p w:rsidR="00604D7D" w:rsidRPr="00597828" w:rsidRDefault="009F4B91" w:rsidP="00604D7D">
      <w:pPr>
        <w:pStyle w:val="Prrafodelista"/>
        <w:spacing w:line="260" w:lineRule="exact"/>
        <w:ind w:left="-132" w:right="-709"/>
        <w:jc w:val="both"/>
        <w:rPr>
          <w:rFonts w:cs="Arial"/>
          <w:sz w:val="24"/>
          <w:szCs w:val="24"/>
        </w:rPr>
      </w:pPr>
      <w:hyperlink r:id="rId8" w:history="1">
        <w:r w:rsidR="00F95D6E" w:rsidRPr="00EF16EC">
          <w:rPr>
            <w:rStyle w:val="Hipervnculo"/>
            <w:rFonts w:cs="Arial"/>
            <w:b/>
          </w:rPr>
          <w:t>investigacion@binario.com.ec</w:t>
        </w:r>
      </w:hyperlink>
      <w:r w:rsidR="00604D7D" w:rsidRPr="00C115B4">
        <w:rPr>
          <w:rFonts w:cs="Arial"/>
          <w:b/>
        </w:rPr>
        <w:t xml:space="preserve">. </w:t>
      </w:r>
    </w:p>
    <w:p w:rsidR="00604D7D" w:rsidRDefault="00604D7D" w:rsidP="00604D7D">
      <w:pPr>
        <w:pStyle w:val="Prrafodelista"/>
        <w:spacing w:line="260" w:lineRule="exact"/>
        <w:ind w:left="-132" w:right="-709"/>
        <w:jc w:val="both"/>
        <w:rPr>
          <w:rFonts w:cs="Arial"/>
          <w:sz w:val="24"/>
          <w:szCs w:val="24"/>
        </w:rPr>
      </w:pPr>
    </w:p>
    <w:p w:rsidR="00604D7D" w:rsidRDefault="00604D7D" w:rsidP="00604D7D">
      <w:pPr>
        <w:pStyle w:val="Prrafodelista"/>
        <w:spacing w:line="260" w:lineRule="exact"/>
        <w:ind w:left="-426" w:right="-709"/>
        <w:jc w:val="both"/>
        <w:rPr>
          <w:rFonts w:cs="Arial"/>
        </w:rPr>
      </w:pPr>
      <w:r w:rsidRPr="00597828">
        <w:rPr>
          <w:rFonts w:cs="Arial"/>
          <w:b/>
          <w:u w:val="single"/>
        </w:rPr>
        <w:t>NOTA:</w:t>
      </w:r>
      <w:r w:rsidRPr="00597828">
        <w:rPr>
          <w:rFonts w:cs="Arial"/>
        </w:rPr>
        <w:t xml:space="preserve"> </w:t>
      </w:r>
      <w:r w:rsidRPr="00F95D6E">
        <w:rPr>
          <w:rFonts w:cs="Arial"/>
          <w:b/>
          <w:highlight w:val="yellow"/>
          <w:u w:val="single"/>
        </w:rPr>
        <w:t>Las inscripciones para ponencias solo se manejan a trav</w:t>
      </w:r>
      <w:r w:rsidR="004B25AD" w:rsidRPr="00F95D6E">
        <w:rPr>
          <w:rFonts w:cs="Arial"/>
          <w:b/>
          <w:highlight w:val="yellow"/>
          <w:u w:val="single"/>
        </w:rPr>
        <w:t>és de la coordinadora académica.</w:t>
      </w:r>
    </w:p>
    <w:p w:rsidR="00604D7D" w:rsidRDefault="00604D7D" w:rsidP="00604D7D">
      <w:pPr>
        <w:pStyle w:val="Prrafodelista"/>
        <w:spacing w:line="260" w:lineRule="exact"/>
        <w:ind w:left="-426" w:right="-709"/>
        <w:jc w:val="both"/>
        <w:rPr>
          <w:rFonts w:cs="Arial"/>
        </w:rPr>
      </w:pPr>
    </w:p>
    <w:p w:rsidR="00604D7D" w:rsidRPr="00B31BF8" w:rsidRDefault="00604D7D" w:rsidP="00604D7D">
      <w:pPr>
        <w:pStyle w:val="Prrafodelista"/>
        <w:numPr>
          <w:ilvl w:val="0"/>
          <w:numId w:val="9"/>
        </w:numPr>
        <w:spacing w:line="260" w:lineRule="exact"/>
        <w:ind w:left="-142" w:right="-709"/>
        <w:jc w:val="both"/>
        <w:rPr>
          <w:rFonts w:cs="Arial"/>
          <w:highlight w:val="cyan"/>
        </w:rPr>
      </w:pPr>
      <w:r w:rsidRPr="00B31BF8">
        <w:rPr>
          <w:rFonts w:cs="Arial"/>
          <w:b/>
          <w:highlight w:val="cyan"/>
        </w:rPr>
        <w:t>NO ENVIAR EL COMPROBANTE DE PAGO al correo asignado a la inscripción del público asistente</w:t>
      </w:r>
      <w:r w:rsidRPr="00B31BF8">
        <w:rPr>
          <w:rFonts w:cs="Arial"/>
          <w:highlight w:val="cyan"/>
        </w:rPr>
        <w:t xml:space="preserve">. </w:t>
      </w:r>
    </w:p>
    <w:p w:rsidR="00604D7D" w:rsidRPr="00B31BF8" w:rsidRDefault="00604D7D" w:rsidP="00604D7D">
      <w:pPr>
        <w:pStyle w:val="Prrafodelista"/>
        <w:numPr>
          <w:ilvl w:val="0"/>
          <w:numId w:val="9"/>
        </w:numPr>
        <w:spacing w:line="260" w:lineRule="exact"/>
        <w:ind w:left="-142" w:right="-709"/>
        <w:jc w:val="both"/>
        <w:rPr>
          <w:rFonts w:cs="Arial"/>
          <w:highlight w:val="cyan"/>
        </w:rPr>
      </w:pPr>
      <w:r w:rsidRPr="00B31BF8">
        <w:rPr>
          <w:rFonts w:cs="Arial"/>
          <w:b/>
          <w:highlight w:val="cyan"/>
        </w:rPr>
        <w:t>NO CANALIZAR EL PAGO a través de la página web.</w:t>
      </w:r>
    </w:p>
    <w:p w:rsidR="00604D7D" w:rsidRDefault="00604D7D" w:rsidP="00604D7D">
      <w:pPr>
        <w:rPr>
          <w:b/>
          <w:color w:val="17365D"/>
        </w:rPr>
      </w:pPr>
    </w:p>
    <w:p w:rsidR="006C7607" w:rsidRPr="00604D7D" w:rsidRDefault="006C7607" w:rsidP="00604D7D">
      <w:pPr>
        <w:shd w:val="clear" w:color="auto" w:fill="365F91" w:themeFill="accent1" w:themeFillShade="BF"/>
        <w:ind w:left="-900" w:right="-914"/>
        <w:jc w:val="center"/>
        <w:rPr>
          <w:rFonts w:asciiTheme="majorHAnsi" w:hAnsiTheme="majorHAnsi" w:cs="Arial"/>
          <w:b/>
          <w:color w:val="FFFFFF"/>
          <w:sz w:val="28"/>
          <w:szCs w:val="28"/>
        </w:rPr>
      </w:pPr>
      <w:r w:rsidRPr="00604D7D">
        <w:rPr>
          <w:rFonts w:asciiTheme="majorHAnsi" w:hAnsiTheme="majorHAnsi" w:cs="Arial"/>
          <w:b/>
          <w:color w:val="FFFFFF"/>
          <w:sz w:val="28"/>
          <w:szCs w:val="28"/>
        </w:rPr>
        <w:t>FORMULARIO PARA LA PRESENTACIÓN DE PONENCIAS</w:t>
      </w:r>
    </w:p>
    <w:p w:rsidR="006C7607" w:rsidRDefault="006C7607" w:rsidP="006C7607">
      <w:pPr>
        <w:jc w:val="center"/>
        <w:rPr>
          <w:rFonts w:ascii="Garamond" w:hAnsi="Garamond" w:cs="Arial"/>
          <w:b/>
        </w:rPr>
      </w:pPr>
    </w:p>
    <w:p w:rsidR="006C7607" w:rsidRDefault="006C7607" w:rsidP="006C7607">
      <w:pPr>
        <w:jc w:val="center"/>
        <w:rPr>
          <w:rFonts w:ascii="Garamond" w:hAnsi="Garamond" w:cs="Arial"/>
          <w:b/>
        </w:rPr>
      </w:pPr>
      <w:r w:rsidRPr="00084F2C">
        <w:rPr>
          <w:rFonts w:ascii="Garamond" w:hAnsi="Garamond" w:cs="Arial"/>
          <w:b/>
        </w:rPr>
        <w:t>Enviar a:</w:t>
      </w:r>
      <w:r>
        <w:t xml:space="preserve"> </w:t>
      </w:r>
      <w:hyperlink r:id="rId9" w:history="1">
        <w:r w:rsidR="00F95D6E" w:rsidRPr="00EF16EC">
          <w:rPr>
            <w:rStyle w:val="Hipervnculo"/>
            <w:rFonts w:ascii="Garamond" w:hAnsi="Garamond" w:cs="Arial"/>
            <w:b/>
            <w:sz w:val="28"/>
            <w:szCs w:val="28"/>
          </w:rPr>
          <w:t>investigacion@binario.com.ec</w:t>
        </w:r>
      </w:hyperlink>
    </w:p>
    <w:p w:rsidR="006C7607" w:rsidRPr="009F335B" w:rsidRDefault="006C7607" w:rsidP="006C7607">
      <w:pPr>
        <w:jc w:val="both"/>
        <w:rPr>
          <w:rFonts w:ascii="Verdana" w:hAnsi="Verdana" w:cs="Arial"/>
          <w:b/>
        </w:rPr>
      </w:pPr>
    </w:p>
    <w:tbl>
      <w:tblPr>
        <w:tblW w:w="10080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298"/>
        <w:gridCol w:w="1832"/>
        <w:gridCol w:w="2970"/>
      </w:tblGrid>
      <w:tr w:rsidR="006C7607" w:rsidRPr="0025732E" w:rsidTr="00996BF9">
        <w:tc>
          <w:tcPr>
            <w:tcW w:w="10080" w:type="dxa"/>
            <w:gridSpan w:val="4"/>
            <w:shd w:val="clear" w:color="auto" w:fill="000000" w:themeFill="text1"/>
            <w:vAlign w:val="center"/>
          </w:tcPr>
          <w:p w:rsidR="006C7607" w:rsidRPr="006C7607" w:rsidRDefault="006C7607" w:rsidP="00435866">
            <w:pPr>
              <w:rPr>
                <w:rFonts w:ascii="Calibri" w:eastAsia="Arial Unicode MS" w:hAnsi="Calibri" w:cs="Arial"/>
                <w:b/>
                <w:lang w:val="es-ES_tradnl"/>
              </w:rPr>
            </w:pPr>
            <w:r w:rsidRPr="006C7607">
              <w:rPr>
                <w:rFonts w:ascii="Calibri" w:eastAsia="Arial Unicode MS" w:hAnsi="Calibri" w:cs="Arial"/>
                <w:b/>
                <w:sz w:val="22"/>
                <w:szCs w:val="22"/>
                <w:lang w:val="es-ES_tradnl"/>
              </w:rPr>
              <w:t>AUTOR N° 1</w:t>
            </w: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de Teléfono y/o </w:t>
            </w:r>
            <w:proofErr w:type="spellStart"/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6C7607" w:rsidRPr="0025732E" w:rsidRDefault="006C7607" w:rsidP="00BD0EB3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996BF9">
        <w:tc>
          <w:tcPr>
            <w:tcW w:w="10080" w:type="dxa"/>
            <w:gridSpan w:val="4"/>
            <w:shd w:val="clear" w:color="auto" w:fill="000000" w:themeFill="text1"/>
            <w:vAlign w:val="center"/>
          </w:tcPr>
          <w:p w:rsidR="006C7607" w:rsidRPr="00394F7B" w:rsidRDefault="006C7607" w:rsidP="00435866">
            <w:pPr>
              <w:rPr>
                <w:rFonts w:ascii="Calibri" w:eastAsia="Arial Unicode MS" w:hAnsi="Calibri" w:cs="Arial"/>
                <w:b/>
                <w:lang w:val="es-ES_tradnl"/>
              </w:rPr>
            </w:pPr>
            <w:r w:rsidRPr="00394F7B">
              <w:rPr>
                <w:rFonts w:ascii="Calibri" w:eastAsia="Arial Unicode MS" w:hAnsi="Calibri" w:cs="Arial"/>
                <w:b/>
                <w:sz w:val="22"/>
                <w:szCs w:val="22"/>
                <w:lang w:val="es-ES_tradnl"/>
              </w:rPr>
              <w:t>AUTOR N° 2</w:t>
            </w: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de Teléfono y/o </w:t>
            </w:r>
            <w:proofErr w:type="spellStart"/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6C7607" w:rsidRPr="0025732E" w:rsidRDefault="006C7607" w:rsidP="00BD0EB3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996BF9">
        <w:tc>
          <w:tcPr>
            <w:tcW w:w="10080" w:type="dxa"/>
            <w:gridSpan w:val="4"/>
            <w:shd w:val="clear" w:color="auto" w:fill="000000" w:themeFill="text1"/>
            <w:vAlign w:val="center"/>
          </w:tcPr>
          <w:p w:rsidR="006C7607" w:rsidRPr="00394F7B" w:rsidRDefault="006C7607" w:rsidP="00435866">
            <w:pPr>
              <w:rPr>
                <w:rFonts w:ascii="Calibri" w:eastAsia="Arial Unicode MS" w:hAnsi="Calibri" w:cs="Arial"/>
                <w:b/>
                <w:lang w:val="es-ES_tradnl"/>
              </w:rPr>
            </w:pPr>
            <w:r w:rsidRPr="00394F7B">
              <w:rPr>
                <w:rFonts w:ascii="Calibri" w:eastAsia="Arial Unicode MS" w:hAnsi="Calibri" w:cs="Arial"/>
                <w:b/>
                <w:sz w:val="22"/>
                <w:szCs w:val="22"/>
                <w:lang w:val="es-ES_tradnl"/>
              </w:rPr>
              <w:t>AUTOR N° 3</w:t>
            </w: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Nombres y Apellidos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Grado académico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 xml:space="preserve">N° de Teléfono y/o </w:t>
            </w:r>
            <w:proofErr w:type="spellStart"/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WhatsApp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personal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Correo electrónico institucional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sz w:val="20"/>
                <w:szCs w:val="20"/>
                <w:lang w:val="es-ES_tradnl"/>
              </w:rPr>
            </w:pP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6C7607" w:rsidRPr="0025732E" w:rsidTr="00BD0EB3"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6C7607" w:rsidRPr="0025732E" w:rsidRDefault="006C7607" w:rsidP="00BD0EB3">
            <w:pPr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  <w:t>RESUMEN DE HOJA DE VIDA</w:t>
            </w:r>
          </w:p>
        </w:tc>
      </w:tr>
      <w:tr w:rsidR="006C7607" w:rsidRPr="0025732E" w:rsidTr="0019230C">
        <w:tc>
          <w:tcPr>
            <w:tcW w:w="10080" w:type="dxa"/>
            <w:gridSpan w:val="4"/>
            <w:shd w:val="clear" w:color="auto" w:fill="auto"/>
            <w:vAlign w:val="center"/>
          </w:tcPr>
          <w:p w:rsidR="006C7607" w:rsidRPr="004B25AD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767171"/>
                <w:sz w:val="20"/>
                <w:szCs w:val="20"/>
                <w:lang w:val="es-ES_tradnl"/>
              </w:rPr>
              <w:t>(No exceder las 50 palabras)</w:t>
            </w: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  <w:p w:rsidR="006C7607" w:rsidRPr="0025732E" w:rsidRDefault="006C7607" w:rsidP="00E27FA4">
            <w:pPr>
              <w:jc w:val="both"/>
              <w:rPr>
                <w:rFonts w:ascii="Calibri" w:eastAsia="Arial Unicode MS" w:hAnsi="Calibri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</w:tbl>
    <w:p w:rsidR="006C7607" w:rsidRPr="00716730" w:rsidRDefault="006C7607" w:rsidP="006C7607">
      <w:pPr>
        <w:rPr>
          <w:rFonts w:ascii="Calibri" w:eastAsia="Arial Unicode MS" w:hAnsi="Calibri" w:cs="Arial"/>
          <w:b/>
          <w:color w:val="17365D"/>
          <w:sz w:val="18"/>
          <w:szCs w:val="18"/>
        </w:rPr>
      </w:pPr>
    </w:p>
    <w:tbl>
      <w:tblPr>
        <w:tblW w:w="97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1440"/>
        <w:gridCol w:w="583"/>
        <w:gridCol w:w="1421"/>
        <w:gridCol w:w="1326"/>
      </w:tblGrid>
      <w:tr w:rsidR="006C7607" w:rsidRPr="0025732E" w:rsidTr="00996BF9">
        <w:tc>
          <w:tcPr>
            <w:tcW w:w="9720" w:type="dxa"/>
            <w:gridSpan w:val="5"/>
            <w:shd w:val="clear" w:color="auto" w:fill="000000" w:themeFill="text1"/>
          </w:tcPr>
          <w:p w:rsidR="006C7607" w:rsidRPr="00E26B27" w:rsidRDefault="00394F7B" w:rsidP="00394F7B">
            <w:pPr>
              <w:tabs>
                <w:tab w:val="center" w:pos="4752"/>
                <w:tab w:val="left" w:pos="7605"/>
              </w:tabs>
              <w:rPr>
                <w:rFonts w:ascii="Calibri" w:eastAsia="Arial Unicode MS" w:hAnsi="Calibri" w:cs="Arial"/>
                <w:b/>
                <w:color w:val="FFFFFF"/>
                <w:lang w:val="es-ES_tradnl"/>
              </w:rPr>
            </w:pPr>
            <w:r>
              <w:rPr>
                <w:rFonts w:ascii="Calibri" w:eastAsia="Arial Unicode MS" w:hAnsi="Calibri" w:cs="Arial"/>
                <w:b/>
                <w:color w:val="FFFFFF"/>
                <w:lang w:val="es-ES_tradnl"/>
              </w:rPr>
              <w:tab/>
            </w:r>
            <w:r w:rsidR="006C7607" w:rsidRPr="00394F7B">
              <w:rPr>
                <w:rFonts w:ascii="Calibri" w:eastAsia="Arial Unicode MS" w:hAnsi="Calibri" w:cs="Arial"/>
                <w:b/>
                <w:lang w:val="es-ES_tradnl"/>
              </w:rPr>
              <w:t>TÍTULO DE LA PONENCIA –</w:t>
            </w:r>
            <w:r w:rsidR="006C7607">
              <w:rPr>
                <w:rFonts w:ascii="Calibri" w:eastAsia="Arial Unicode MS" w:hAnsi="Calibri" w:cs="Arial"/>
                <w:b/>
                <w:color w:val="FFFFFF"/>
                <w:lang w:val="es-ES_tradnl"/>
              </w:rPr>
              <w:t xml:space="preserve"> </w:t>
            </w:r>
            <w:r w:rsidR="006C7607" w:rsidRPr="00996BF9">
              <w:rPr>
                <w:rFonts w:ascii="Calibri" w:eastAsia="Arial Unicode MS" w:hAnsi="Calibri" w:cs="Arial"/>
                <w:b/>
                <w:color w:val="A6A6A6" w:themeColor="background1" w:themeShade="A6"/>
                <w:lang w:val="es-ES_tradnl"/>
              </w:rPr>
              <w:t>(Utilice fuente N° 14)</w:t>
            </w:r>
            <w:r>
              <w:rPr>
                <w:rFonts w:ascii="Calibri" w:eastAsia="Arial Unicode MS" w:hAnsi="Calibri" w:cs="Arial"/>
                <w:b/>
                <w:color w:val="FFFFFF"/>
                <w:lang w:val="es-ES_tradnl"/>
              </w:rPr>
              <w:tab/>
            </w:r>
          </w:p>
        </w:tc>
      </w:tr>
      <w:tr w:rsidR="006C7607" w:rsidRPr="0025732E" w:rsidTr="00E27FA4">
        <w:tc>
          <w:tcPr>
            <w:tcW w:w="9720" w:type="dxa"/>
            <w:gridSpan w:val="5"/>
            <w:shd w:val="clear" w:color="auto" w:fill="auto"/>
            <w:vAlign w:val="center"/>
          </w:tcPr>
          <w:p w:rsidR="006C7607" w:rsidRPr="0014603E" w:rsidRDefault="0014603E" w:rsidP="0014603E">
            <w:pPr>
              <w:rPr>
                <w:rFonts w:ascii="Calibri" w:eastAsia="Arial Unicode MS" w:hAnsi="Calibri" w:cs="Arial"/>
                <w:b/>
                <w:color w:val="595959" w:themeColor="text1" w:themeTint="A6"/>
                <w:sz w:val="28"/>
                <w:szCs w:val="28"/>
                <w:lang w:val="es-ES_tradnl"/>
              </w:rPr>
            </w:pPr>
            <w:r w:rsidRPr="0014603E">
              <w:rPr>
                <w:rFonts w:ascii="Calibri" w:eastAsia="Arial Unicode MS" w:hAnsi="Calibri" w:cs="Arial"/>
                <w:b/>
                <w:color w:val="595959" w:themeColor="text1" w:themeTint="A6"/>
                <w:sz w:val="28"/>
                <w:szCs w:val="28"/>
                <w:lang w:val="es-ES_tradnl"/>
              </w:rPr>
              <w:t>TEMA:</w:t>
            </w:r>
            <w:r w:rsidR="006C7607" w:rsidRPr="0014603E">
              <w:rPr>
                <w:rFonts w:ascii="Calibri" w:eastAsia="Arial Unicode MS" w:hAnsi="Calibri" w:cs="Arial"/>
                <w:b/>
                <w:color w:val="595959" w:themeColor="text1" w:themeTint="A6"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6C7607" w:rsidRPr="0025732E" w:rsidTr="00113280">
        <w:tc>
          <w:tcPr>
            <w:tcW w:w="4950" w:type="dxa"/>
            <w:shd w:val="clear" w:color="auto" w:fill="D9D9D9" w:themeFill="background1" w:themeFillShade="D9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Descriptores clave:</w:t>
            </w:r>
          </w:p>
        </w:tc>
        <w:tc>
          <w:tcPr>
            <w:tcW w:w="4770" w:type="dxa"/>
            <w:gridSpan w:val="4"/>
            <w:shd w:val="clear" w:color="auto" w:fill="D9D9D9" w:themeFill="background1" w:themeFillShade="D9"/>
          </w:tcPr>
          <w:p w:rsidR="006C7607" w:rsidRPr="0025732E" w:rsidRDefault="00394F7B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 xml:space="preserve">Marque </w:t>
            </w:r>
            <w:r w:rsidR="006C7607"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con una X:</w:t>
            </w:r>
          </w:p>
        </w:tc>
      </w:tr>
      <w:tr w:rsidR="006C7607" w:rsidRPr="0025732E" w:rsidTr="00E27FA4">
        <w:tc>
          <w:tcPr>
            <w:tcW w:w="4950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Garamond" w:hAnsi="Garamond"/>
                <w:color w:val="595959"/>
              </w:rPr>
              <w:t>(5 Palabras)</w:t>
            </w:r>
          </w:p>
        </w:tc>
        <w:tc>
          <w:tcPr>
            <w:tcW w:w="1440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Investigación teórica</w:t>
            </w:r>
          </w:p>
        </w:tc>
        <w:tc>
          <w:tcPr>
            <w:tcW w:w="583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767171"/>
                <w:lang w:val="es-ES_tradnl"/>
              </w:rPr>
            </w:pPr>
          </w:p>
        </w:tc>
        <w:tc>
          <w:tcPr>
            <w:tcW w:w="1421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Investigación</w:t>
            </w:r>
          </w:p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Práctica</w:t>
            </w:r>
          </w:p>
        </w:tc>
        <w:tc>
          <w:tcPr>
            <w:tcW w:w="1326" w:type="dxa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767171"/>
                <w:lang w:val="es-ES_tradnl"/>
              </w:rPr>
            </w:pPr>
          </w:p>
        </w:tc>
      </w:tr>
      <w:tr w:rsidR="006C7607" w:rsidRPr="0025732E" w:rsidTr="00E27FA4">
        <w:tc>
          <w:tcPr>
            <w:tcW w:w="9720" w:type="dxa"/>
            <w:gridSpan w:val="5"/>
            <w:shd w:val="clear" w:color="auto" w:fill="auto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6C7607" w:rsidRPr="0025732E" w:rsidTr="00113280">
        <w:tc>
          <w:tcPr>
            <w:tcW w:w="9720" w:type="dxa"/>
            <w:gridSpan w:val="5"/>
            <w:shd w:val="clear" w:color="auto" w:fill="D9D9D9" w:themeFill="background1" w:themeFillShade="D9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 xml:space="preserve">EJE TEMÁTICO RELACIONADO A SU INVESTIGACIÓN </w:t>
            </w:r>
            <w:r w:rsidRPr="0025732E">
              <w:rPr>
                <w:rFonts w:ascii="Calibri" w:eastAsia="Arial Unicode MS" w:hAnsi="Calibri" w:cs="Arial"/>
                <w:b/>
                <w:color w:val="767171"/>
                <w:sz w:val="22"/>
                <w:szCs w:val="22"/>
                <w:lang w:val="es-ES_tradnl"/>
              </w:rPr>
              <w:t>(MARQUE CON UNA X)</w:t>
            </w:r>
          </w:p>
        </w:tc>
      </w:tr>
      <w:tr w:rsidR="00FE4A56" w:rsidRPr="0025732E" w:rsidTr="00E27FA4">
        <w:tc>
          <w:tcPr>
            <w:tcW w:w="8394" w:type="dxa"/>
            <w:gridSpan w:val="4"/>
            <w:shd w:val="clear" w:color="auto" w:fill="auto"/>
          </w:tcPr>
          <w:p w:rsidR="00FE4A56" w:rsidRPr="00107131" w:rsidRDefault="00107131" w:rsidP="001071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right="274"/>
              <w:jc w:val="both"/>
              <w:rPr>
                <w:lang w:val="es-ES"/>
              </w:rPr>
            </w:pPr>
            <w:r w:rsidRPr="000D70EB">
              <w:t xml:space="preserve">Cooperativismo, </w:t>
            </w:r>
            <w:proofErr w:type="spellStart"/>
            <w:r w:rsidRPr="000D70EB">
              <w:t>asociatividad</w:t>
            </w:r>
            <w:proofErr w:type="spellEnd"/>
            <w:r w:rsidRPr="000D70EB">
              <w:t xml:space="preserve"> comunitaria y territorios en red</w:t>
            </w:r>
            <w:r>
              <w:t>.</w:t>
            </w:r>
          </w:p>
        </w:tc>
        <w:tc>
          <w:tcPr>
            <w:tcW w:w="1326" w:type="dxa"/>
            <w:shd w:val="clear" w:color="auto" w:fill="auto"/>
          </w:tcPr>
          <w:p w:rsidR="00FE4A56" w:rsidRPr="0025732E" w:rsidRDefault="00FE4A56" w:rsidP="00107131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FE4A56" w:rsidRPr="0025732E" w:rsidTr="00E27FA4">
        <w:tc>
          <w:tcPr>
            <w:tcW w:w="8394" w:type="dxa"/>
            <w:gridSpan w:val="4"/>
            <w:shd w:val="clear" w:color="auto" w:fill="auto"/>
          </w:tcPr>
          <w:p w:rsidR="00FE4A56" w:rsidRPr="00107131" w:rsidRDefault="00107131" w:rsidP="001071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right="274"/>
              <w:jc w:val="both"/>
              <w:rPr>
                <w:lang w:val="es-ES"/>
              </w:rPr>
            </w:pPr>
            <w:r w:rsidRPr="000D70EB">
              <w:t>Inserción productiva, la importancia de la cadena de valor</w:t>
            </w:r>
            <w:r>
              <w:t>.</w:t>
            </w:r>
          </w:p>
        </w:tc>
        <w:tc>
          <w:tcPr>
            <w:tcW w:w="1326" w:type="dxa"/>
            <w:shd w:val="clear" w:color="auto" w:fill="auto"/>
          </w:tcPr>
          <w:p w:rsidR="00FE4A56" w:rsidRPr="0025732E" w:rsidRDefault="00FE4A56" w:rsidP="00107131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FE4A56" w:rsidRPr="0025732E" w:rsidTr="00E27FA4">
        <w:tc>
          <w:tcPr>
            <w:tcW w:w="8394" w:type="dxa"/>
            <w:gridSpan w:val="4"/>
            <w:shd w:val="clear" w:color="auto" w:fill="auto"/>
          </w:tcPr>
          <w:p w:rsidR="00FE4A56" w:rsidRPr="00107131" w:rsidRDefault="00107131" w:rsidP="001071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right="274"/>
              <w:jc w:val="both"/>
              <w:rPr>
                <w:lang w:val="es-ES"/>
              </w:rPr>
            </w:pPr>
            <w:r w:rsidRPr="000D70EB">
              <w:t>Las finanzas populares y solidarias y el futuro de la inclusión</w:t>
            </w:r>
            <w:r>
              <w:t>.</w:t>
            </w:r>
          </w:p>
        </w:tc>
        <w:tc>
          <w:tcPr>
            <w:tcW w:w="1326" w:type="dxa"/>
            <w:shd w:val="clear" w:color="auto" w:fill="auto"/>
          </w:tcPr>
          <w:p w:rsidR="00FE4A56" w:rsidRPr="0025732E" w:rsidRDefault="00FE4A56" w:rsidP="00107131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FE4A56" w:rsidRPr="0025732E" w:rsidTr="00E27FA4">
        <w:tc>
          <w:tcPr>
            <w:tcW w:w="8394" w:type="dxa"/>
            <w:gridSpan w:val="4"/>
            <w:shd w:val="clear" w:color="auto" w:fill="auto"/>
          </w:tcPr>
          <w:p w:rsidR="00FE4A56" w:rsidRPr="00107131" w:rsidRDefault="00107131" w:rsidP="001071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right="274"/>
              <w:jc w:val="both"/>
            </w:pPr>
            <w:r w:rsidRPr="000D70EB">
              <w:t>Planificación estratégica y desarrollo sustentable para organizaciones de EPS</w:t>
            </w:r>
            <w:r>
              <w:t>.</w:t>
            </w:r>
          </w:p>
        </w:tc>
        <w:tc>
          <w:tcPr>
            <w:tcW w:w="1326" w:type="dxa"/>
            <w:shd w:val="clear" w:color="auto" w:fill="auto"/>
          </w:tcPr>
          <w:p w:rsidR="00FE4A56" w:rsidRPr="0025732E" w:rsidRDefault="00FE4A56" w:rsidP="00107131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FE4A56" w:rsidRPr="0025732E" w:rsidTr="00E27FA4">
        <w:tc>
          <w:tcPr>
            <w:tcW w:w="8394" w:type="dxa"/>
            <w:gridSpan w:val="4"/>
            <w:shd w:val="clear" w:color="auto" w:fill="auto"/>
          </w:tcPr>
          <w:p w:rsidR="00FE4A56" w:rsidRPr="00107131" w:rsidRDefault="00107131" w:rsidP="001071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right="274"/>
              <w:jc w:val="both"/>
            </w:pPr>
            <w:r>
              <w:t>Relación entre la economía popular y solidaria y l</w:t>
            </w:r>
            <w:r w:rsidRPr="001176A9">
              <w:t xml:space="preserve">a </w:t>
            </w:r>
            <w:r>
              <w:t>e</w:t>
            </w:r>
            <w:r w:rsidRPr="001176A9">
              <w:t>conomía del cuidado</w:t>
            </w:r>
            <w:r>
              <w:t>.</w:t>
            </w:r>
          </w:p>
        </w:tc>
        <w:tc>
          <w:tcPr>
            <w:tcW w:w="1326" w:type="dxa"/>
            <w:shd w:val="clear" w:color="auto" w:fill="auto"/>
          </w:tcPr>
          <w:p w:rsidR="00FE4A56" w:rsidRPr="0025732E" w:rsidRDefault="00FE4A56" w:rsidP="00107131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FE4A56" w:rsidRPr="0025732E" w:rsidTr="00E27FA4">
        <w:tc>
          <w:tcPr>
            <w:tcW w:w="8394" w:type="dxa"/>
            <w:gridSpan w:val="4"/>
            <w:shd w:val="clear" w:color="auto" w:fill="auto"/>
          </w:tcPr>
          <w:p w:rsidR="00FE4A56" w:rsidRPr="00107131" w:rsidRDefault="00107131" w:rsidP="001071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right="274"/>
              <w:jc w:val="both"/>
            </w:pPr>
            <w:r w:rsidRPr="00822444">
              <w:t>El Gobierno de lo Común: La Economía Política dentro de las Organizaciones de la EPS</w:t>
            </w:r>
            <w:r>
              <w:t>.</w:t>
            </w:r>
          </w:p>
        </w:tc>
        <w:tc>
          <w:tcPr>
            <w:tcW w:w="1326" w:type="dxa"/>
            <w:shd w:val="clear" w:color="auto" w:fill="auto"/>
          </w:tcPr>
          <w:p w:rsidR="00FE4A56" w:rsidRPr="0025732E" w:rsidRDefault="00FE4A56" w:rsidP="00107131">
            <w:pPr>
              <w:jc w:val="center"/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  <w:tr w:rsidR="006C7607" w:rsidRPr="0025732E" w:rsidTr="00113280">
        <w:tc>
          <w:tcPr>
            <w:tcW w:w="9720" w:type="dxa"/>
            <w:gridSpan w:val="5"/>
            <w:shd w:val="clear" w:color="auto" w:fill="D9D9D9" w:themeFill="background1" w:themeFillShade="D9"/>
          </w:tcPr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  <w:r w:rsidRPr="0025732E">
              <w:rPr>
                <w:rFonts w:ascii="Calibri" w:eastAsia="Arial Unicode MS" w:hAnsi="Calibri" w:cs="Arial"/>
                <w:b/>
                <w:color w:val="17365D"/>
                <w:sz w:val="22"/>
                <w:szCs w:val="22"/>
                <w:lang w:val="es-ES_tradnl"/>
              </w:rPr>
              <w:t>RESUMEN DE LA PONENCIA:</w:t>
            </w:r>
          </w:p>
        </w:tc>
      </w:tr>
      <w:tr w:rsidR="006C7607" w:rsidRPr="0025732E" w:rsidTr="00E27FA4">
        <w:tc>
          <w:tcPr>
            <w:tcW w:w="9720" w:type="dxa"/>
            <w:gridSpan w:val="5"/>
            <w:shd w:val="clear" w:color="auto" w:fill="auto"/>
          </w:tcPr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  <w:r w:rsidRPr="0025732E">
              <w:rPr>
                <w:rFonts w:ascii="Garamond" w:hAnsi="Garamond"/>
                <w:color w:val="595959"/>
              </w:rPr>
              <w:t>(No más de 250 palabras, debe incluir objetivos, metodología y conclusiones o resultados (todo en un párrafo)</w:t>
            </w:r>
          </w:p>
          <w:p w:rsidR="006C7607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7F139D" w:rsidRDefault="006C7607" w:rsidP="00E27FA4">
            <w:pPr>
              <w:rPr>
                <w:rFonts w:ascii="Garamond" w:hAnsi="Garamond"/>
                <w:color w:val="595959"/>
                <w:lang w:val="es-EC"/>
              </w:rPr>
            </w:pPr>
          </w:p>
          <w:p w:rsidR="006C7607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Garamond" w:hAnsi="Garamond"/>
                <w:color w:val="595959"/>
              </w:rPr>
            </w:pPr>
          </w:p>
          <w:p w:rsidR="006C7607" w:rsidRPr="0025732E" w:rsidRDefault="006C7607" w:rsidP="00E27FA4">
            <w:pPr>
              <w:rPr>
                <w:rFonts w:ascii="Calibri" w:eastAsia="Arial Unicode MS" w:hAnsi="Calibri" w:cs="Arial"/>
                <w:b/>
                <w:color w:val="17365D"/>
                <w:lang w:val="es-ES_tradnl"/>
              </w:rPr>
            </w:pPr>
          </w:p>
        </w:tc>
      </w:tr>
    </w:tbl>
    <w:p w:rsidR="006C7607" w:rsidRPr="003357F8" w:rsidRDefault="006C7607" w:rsidP="006C7607">
      <w:pPr>
        <w:rPr>
          <w:rFonts w:ascii="Calibri" w:eastAsia="Arial Unicode MS" w:hAnsi="Calibri" w:cs="Arial"/>
          <w:b/>
          <w:color w:val="17365D"/>
          <w:sz w:val="18"/>
          <w:szCs w:val="18"/>
          <w:lang w:val="es-ES_tradnl"/>
        </w:rPr>
      </w:pPr>
    </w:p>
    <w:p w:rsidR="006C7607" w:rsidRDefault="006C7607" w:rsidP="006C7607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C7607" w:rsidRDefault="006C7607" w:rsidP="006C7607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D52D04" w:rsidRDefault="00D52D04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b/>
          <w:color w:val="17365D"/>
        </w:rPr>
      </w:pPr>
    </w:p>
    <w:p w:rsidR="006C7607" w:rsidRDefault="006C7607" w:rsidP="006C7607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C7607" w:rsidRPr="00604D7D" w:rsidRDefault="006C7607" w:rsidP="00604D7D">
      <w:pPr>
        <w:shd w:val="clear" w:color="auto" w:fill="365F91" w:themeFill="accent1" w:themeFillShade="BF"/>
        <w:ind w:left="-900" w:right="-914"/>
        <w:jc w:val="center"/>
        <w:rPr>
          <w:rFonts w:asciiTheme="majorHAnsi" w:hAnsiTheme="majorHAnsi"/>
          <w:color w:val="FFFFFF"/>
          <w:sz w:val="28"/>
          <w:szCs w:val="28"/>
        </w:rPr>
      </w:pPr>
      <w:r w:rsidRPr="00604D7D">
        <w:rPr>
          <w:rFonts w:asciiTheme="majorHAnsi" w:hAnsiTheme="majorHAnsi"/>
          <w:b/>
          <w:color w:val="FFFFFF"/>
          <w:sz w:val="28"/>
          <w:szCs w:val="28"/>
        </w:rPr>
        <w:t>SUGERENCIAS PARA LA REDACCIÓN DE RESÚMENES</w:t>
      </w:r>
    </w:p>
    <w:p w:rsidR="006C7607" w:rsidRPr="00716730" w:rsidRDefault="006C7607" w:rsidP="006C7607">
      <w:pPr>
        <w:jc w:val="both"/>
        <w:rPr>
          <w:rFonts w:ascii="Garamond" w:hAnsi="Garamond"/>
          <w:color w:val="595959"/>
        </w:rPr>
      </w:pP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Redactar el resumen en un solo párrafo, modo impersonal y en tiempo pasado, excepto las conclusiones que llevan el verbo en presente. Debe contener de 200 a 250 palabras. No debe incluir ecuaciones o referencias. Use la fuente Garamond en tamaño 12. El contenido del resumen debe estar completamente justificado. Procurar que el resumen tenga precisión, concisión, orden y la información más importante de cada sección del artículo original.</w:t>
      </w: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resumen para un artículo teórico, de revisión de tema, reseña o recensión (que constituyen evaluaciones críticas de material publicado), debe describir: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tema en una sola oración.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objetivo o tesis.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Las fuentes utilizadas.</w:t>
      </w:r>
    </w:p>
    <w:p w:rsidR="006C7607" w:rsidRPr="00860DEB" w:rsidRDefault="006C7607" w:rsidP="006C7607">
      <w:pPr>
        <w:numPr>
          <w:ilvl w:val="0"/>
          <w:numId w:val="1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Conclusiones.</w:t>
      </w: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</w:p>
    <w:p w:rsidR="006C7607" w:rsidRPr="00860DEB" w:rsidRDefault="006C7607" w:rsidP="006C7607">
      <w:pPr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El resumen para un artículo estudio de caso (en el que se describe material obtenido al trabajar con un individuo, organización o situación, para describir un problema o indicar cómo resolverlo), incluye: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Objetivo del estudio.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Metodología utilizada.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Discusión y resultados.</w:t>
      </w:r>
    </w:p>
    <w:p w:rsidR="006C7607" w:rsidRPr="00860DEB" w:rsidRDefault="006C7607" w:rsidP="006C7607">
      <w:pPr>
        <w:numPr>
          <w:ilvl w:val="0"/>
          <w:numId w:val="2"/>
        </w:numPr>
        <w:ind w:left="360"/>
        <w:jc w:val="both"/>
        <w:rPr>
          <w:rFonts w:ascii="Garamond" w:hAnsi="Garamond"/>
          <w:color w:val="404040" w:themeColor="text1" w:themeTint="BF"/>
        </w:rPr>
      </w:pPr>
      <w:r w:rsidRPr="00860DEB">
        <w:rPr>
          <w:rFonts w:ascii="Garamond" w:hAnsi="Garamond"/>
          <w:color w:val="404040" w:themeColor="text1" w:themeTint="BF"/>
        </w:rPr>
        <w:t>Conclusiones.</w:t>
      </w:r>
    </w:p>
    <w:p w:rsidR="006C7607" w:rsidRPr="00505AC1" w:rsidRDefault="006C7607" w:rsidP="006C7607">
      <w:pPr>
        <w:rPr>
          <w:b/>
          <w:vanish/>
          <w:color w:val="17365D"/>
        </w:rPr>
      </w:pPr>
    </w:p>
    <w:p w:rsidR="006C7607" w:rsidRPr="00801B2D" w:rsidRDefault="006C7607" w:rsidP="006C7607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p w:rsidR="00FA62E5" w:rsidRDefault="00FA62E5"/>
    <w:sectPr w:rsidR="00FA62E5" w:rsidSect="00FD5A03">
      <w:headerReference w:type="default" r:id="rId10"/>
      <w:footerReference w:type="default" r:id="rId11"/>
      <w:pgSz w:w="11907" w:h="16839" w:code="9"/>
      <w:pgMar w:top="35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91" w:rsidRDefault="009F4B91" w:rsidP="000717F6">
      <w:r>
        <w:separator/>
      </w:r>
    </w:p>
  </w:endnote>
  <w:endnote w:type="continuationSeparator" w:id="0">
    <w:p w:rsidR="009F4B91" w:rsidRDefault="009F4B91" w:rsidP="0007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0F" w:rsidRDefault="00FD710F">
    <w:pPr>
      <w:pStyle w:val="Piedepgina"/>
    </w:pPr>
    <w:r>
      <w:rPr>
        <w:noProof/>
        <w:lang w:val="es-VE" w:eastAsia="es-V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-3848100</wp:posOffset>
          </wp:positionV>
          <wp:extent cx="8799830" cy="4600575"/>
          <wp:effectExtent l="19050" t="0" r="127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8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9830" cy="460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91" w:rsidRDefault="009F4B91" w:rsidP="000717F6">
      <w:r>
        <w:separator/>
      </w:r>
    </w:p>
  </w:footnote>
  <w:footnote w:type="continuationSeparator" w:id="0">
    <w:p w:rsidR="009F4B91" w:rsidRDefault="009F4B91" w:rsidP="0007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F6" w:rsidRDefault="00F95D6E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-449581</wp:posOffset>
          </wp:positionV>
          <wp:extent cx="7543800" cy="1724025"/>
          <wp:effectExtent l="0" t="0" r="0" b="9525"/>
          <wp:wrapNone/>
          <wp:docPr id="24520339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03393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A12"/>
    <w:multiLevelType w:val="hybridMultilevel"/>
    <w:tmpl w:val="E612E93A"/>
    <w:lvl w:ilvl="0" w:tplc="20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>
    <w:nsid w:val="0E3372BC"/>
    <w:multiLevelType w:val="hybridMultilevel"/>
    <w:tmpl w:val="B0F67850"/>
    <w:lvl w:ilvl="0" w:tplc="20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9B736CE"/>
    <w:multiLevelType w:val="hybridMultilevel"/>
    <w:tmpl w:val="9960764C"/>
    <w:lvl w:ilvl="0" w:tplc="20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BA063D"/>
    <w:multiLevelType w:val="hybridMultilevel"/>
    <w:tmpl w:val="24F64268"/>
    <w:lvl w:ilvl="0" w:tplc="20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F595FE1"/>
    <w:multiLevelType w:val="hybridMultilevel"/>
    <w:tmpl w:val="F7225C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0557"/>
    <w:multiLevelType w:val="hybridMultilevel"/>
    <w:tmpl w:val="27F087D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91208"/>
    <w:multiLevelType w:val="hybridMultilevel"/>
    <w:tmpl w:val="CED8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71C87"/>
    <w:multiLevelType w:val="hybridMultilevel"/>
    <w:tmpl w:val="422CF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E2ABE"/>
    <w:multiLevelType w:val="hybridMultilevel"/>
    <w:tmpl w:val="0D306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35890"/>
    <w:multiLevelType w:val="hybridMultilevel"/>
    <w:tmpl w:val="CAA24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3601A"/>
    <w:multiLevelType w:val="hybridMultilevel"/>
    <w:tmpl w:val="23B06386"/>
    <w:lvl w:ilvl="0" w:tplc="9B0EEC44">
      <w:start w:val="1"/>
      <w:numFmt w:val="bullet"/>
      <w:lvlText w:val="»"/>
      <w:lvlJc w:val="left"/>
      <w:pPr>
        <w:ind w:left="294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36474"/>
    <w:multiLevelType w:val="hybridMultilevel"/>
    <w:tmpl w:val="EFF64E66"/>
    <w:lvl w:ilvl="0" w:tplc="20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5BC13AE5"/>
    <w:multiLevelType w:val="hybridMultilevel"/>
    <w:tmpl w:val="395A94A4"/>
    <w:lvl w:ilvl="0" w:tplc="20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F6"/>
    <w:rsid w:val="00066D1D"/>
    <w:rsid w:val="000717F6"/>
    <w:rsid w:val="000E2681"/>
    <w:rsid w:val="00107131"/>
    <w:rsid w:val="00113280"/>
    <w:rsid w:val="0014603E"/>
    <w:rsid w:val="0019230C"/>
    <w:rsid w:val="00196F7E"/>
    <w:rsid w:val="001C48E9"/>
    <w:rsid w:val="002631F9"/>
    <w:rsid w:val="002C21D8"/>
    <w:rsid w:val="002C52DF"/>
    <w:rsid w:val="002C775C"/>
    <w:rsid w:val="00374F6D"/>
    <w:rsid w:val="00394F7B"/>
    <w:rsid w:val="00414CBA"/>
    <w:rsid w:val="00435866"/>
    <w:rsid w:val="00442160"/>
    <w:rsid w:val="004427AC"/>
    <w:rsid w:val="004964E4"/>
    <w:rsid w:val="004B25AD"/>
    <w:rsid w:val="004B4071"/>
    <w:rsid w:val="004F413A"/>
    <w:rsid w:val="00547582"/>
    <w:rsid w:val="00562966"/>
    <w:rsid w:val="0057712C"/>
    <w:rsid w:val="005A408C"/>
    <w:rsid w:val="00604D6B"/>
    <w:rsid w:val="00604D7D"/>
    <w:rsid w:val="00605C8F"/>
    <w:rsid w:val="0063365B"/>
    <w:rsid w:val="00636959"/>
    <w:rsid w:val="00651F18"/>
    <w:rsid w:val="00684006"/>
    <w:rsid w:val="006A19EC"/>
    <w:rsid w:val="006C7607"/>
    <w:rsid w:val="00715D60"/>
    <w:rsid w:val="007676A3"/>
    <w:rsid w:val="0079434C"/>
    <w:rsid w:val="007A7F91"/>
    <w:rsid w:val="008453C6"/>
    <w:rsid w:val="00851CE3"/>
    <w:rsid w:val="008C3CE1"/>
    <w:rsid w:val="00902D5B"/>
    <w:rsid w:val="00943AD3"/>
    <w:rsid w:val="00996BF9"/>
    <w:rsid w:val="009F4B91"/>
    <w:rsid w:val="00A636A5"/>
    <w:rsid w:val="00B046E1"/>
    <w:rsid w:val="00B14EF8"/>
    <w:rsid w:val="00B825EC"/>
    <w:rsid w:val="00BD0EB3"/>
    <w:rsid w:val="00C574E6"/>
    <w:rsid w:val="00C620DC"/>
    <w:rsid w:val="00C71EF1"/>
    <w:rsid w:val="00CB2EBB"/>
    <w:rsid w:val="00CE6DC8"/>
    <w:rsid w:val="00D22C30"/>
    <w:rsid w:val="00D52BEE"/>
    <w:rsid w:val="00D52D04"/>
    <w:rsid w:val="00D60B7A"/>
    <w:rsid w:val="00D9704B"/>
    <w:rsid w:val="00DA0C60"/>
    <w:rsid w:val="00DA5B5F"/>
    <w:rsid w:val="00DB2F7D"/>
    <w:rsid w:val="00E347CF"/>
    <w:rsid w:val="00E95D49"/>
    <w:rsid w:val="00E96E7A"/>
    <w:rsid w:val="00EC2FFB"/>
    <w:rsid w:val="00F25B62"/>
    <w:rsid w:val="00F326CF"/>
    <w:rsid w:val="00F5709D"/>
    <w:rsid w:val="00F95D6E"/>
    <w:rsid w:val="00FA62E5"/>
    <w:rsid w:val="00FC1511"/>
    <w:rsid w:val="00FD5A03"/>
    <w:rsid w:val="00FD710F"/>
    <w:rsid w:val="00FE0170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812E65-549F-46A3-9EE5-1B9E1F50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0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F6"/>
  </w:style>
  <w:style w:type="paragraph" w:styleId="Piedepgina">
    <w:name w:val="footer"/>
    <w:basedOn w:val="Normal"/>
    <w:link w:val="PiedepginaCar"/>
    <w:uiPriority w:val="99"/>
    <w:unhideWhenUsed/>
    <w:rsid w:val="00071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F6"/>
  </w:style>
  <w:style w:type="paragraph" w:styleId="Textodeglobo">
    <w:name w:val="Balloon Text"/>
    <w:basedOn w:val="Normal"/>
    <w:link w:val="TextodegloboCar"/>
    <w:uiPriority w:val="99"/>
    <w:semiHidden/>
    <w:unhideWhenUsed/>
    <w:rsid w:val="00071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7F6"/>
    <w:rPr>
      <w:rFonts w:ascii="Tahoma" w:hAnsi="Tahoma" w:cs="Tahoma"/>
      <w:sz w:val="16"/>
      <w:szCs w:val="16"/>
    </w:rPr>
  </w:style>
  <w:style w:type="character" w:styleId="Hipervnculo">
    <w:name w:val="Hyperlink"/>
    <w:rsid w:val="006C760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76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604D7D"/>
    <w:pPr>
      <w:widowControl w:val="0"/>
    </w:pPr>
    <w:rPr>
      <w:rFonts w:ascii="Century Gothic" w:eastAsia="Century Gothic" w:hAnsi="Century Gothic" w:cs="Century Gothic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4D7D"/>
    <w:rPr>
      <w:rFonts w:ascii="Century Gothic" w:eastAsia="Century Gothic" w:hAnsi="Century Gothic" w:cs="Century Gothic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@binario.com.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vestigacion@binario.com.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vestigacion@binario.com.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Beannys</dc:creator>
  <cp:lastModifiedBy>Maria Angelica</cp:lastModifiedBy>
  <cp:revision>16</cp:revision>
  <dcterms:created xsi:type="dcterms:W3CDTF">2022-09-12T18:29:00Z</dcterms:created>
  <dcterms:modified xsi:type="dcterms:W3CDTF">2023-06-27T07:43:00Z</dcterms:modified>
</cp:coreProperties>
</file>