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both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8890</wp:posOffset>
            </wp:positionV>
            <wp:extent cx="1143000" cy="756477"/>
            <wp:effectExtent b="0" l="0" r="0" t="0"/>
            <wp:wrapNone/>
            <wp:docPr descr="האם ניתן לעזור לילדנו לא לסבול מקוצר ראיה? - Optica Halperin" id="19" name="image1.jpg"/>
            <a:graphic>
              <a:graphicData uri="http://schemas.openxmlformats.org/drawingml/2006/picture">
                <pic:pic>
                  <pic:nvPicPr>
                    <pic:cNvPr descr="האם ניתן לעזור לילדנו לא לסבול מקוצר ראיה? - Optica Halperi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6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האם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ניתן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לקנות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על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ידי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ראיה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בלבד</w:t>
      </w:r>
      <w:r w:rsidDel="00000000" w:rsidR="00000000" w:rsidRPr="00000000">
        <w:rPr>
          <w:b w:val="1"/>
          <w:sz w:val="32"/>
          <w:szCs w:val="32"/>
          <w:rtl w:val="1"/>
        </w:rPr>
        <w:t xml:space="preserve">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720" w:firstLine="0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1"/>
        </w:rPr>
        <w:t xml:space="preserve">הקדמה</w:t>
      </w:r>
    </w:p>
    <w:p w:rsidR="00000000" w:rsidDel="00000000" w:rsidP="00000000" w:rsidRDefault="00000000" w:rsidRPr="00000000" w14:paraId="00000004">
      <w:pPr>
        <w:bidi w:val="1"/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1"/>
        </w:rPr>
        <w:t xml:space="preserve">בגמ</w:t>
      </w:r>
      <w:r w:rsidDel="00000000" w:rsidR="00000000" w:rsidRPr="00000000">
        <w:rPr>
          <w:i w:val="1"/>
          <w:rtl w:val="1"/>
        </w:rPr>
        <w:t xml:space="preserve">' </w:t>
      </w:r>
      <w:r w:rsidDel="00000000" w:rsidR="00000000" w:rsidRPr="00000000">
        <w:rPr>
          <w:i w:val="1"/>
          <w:rtl w:val="1"/>
        </w:rPr>
        <w:t xml:space="preserve">שלפנינו</w:t>
      </w:r>
      <w:r w:rsidDel="00000000" w:rsidR="00000000" w:rsidRPr="00000000">
        <w:rPr>
          <w:i w:val="1"/>
          <w:rtl w:val="1"/>
        </w:rPr>
        <w:t xml:space="preserve"> (</w:t>
      </w:r>
      <w:r w:rsidDel="00000000" w:rsidR="00000000" w:rsidRPr="00000000">
        <w:rPr>
          <w:i w:val="1"/>
          <w:rtl w:val="1"/>
        </w:rPr>
        <w:t xml:space="preserve">ב</w:t>
      </w:r>
      <w:r w:rsidDel="00000000" w:rsidR="00000000" w:rsidRPr="00000000">
        <w:rPr>
          <w:i w:val="1"/>
          <w:rtl w:val="1"/>
        </w:rPr>
        <w:t xml:space="preserve">.) </w:t>
      </w:r>
      <w:r w:rsidDel="00000000" w:rsidR="00000000" w:rsidRPr="00000000">
        <w:rPr>
          <w:i w:val="1"/>
          <w:rtl w:val="1"/>
        </w:rPr>
        <w:t xml:space="preserve">הציעה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הגמרא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שהסיבה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שהמשנה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כפלה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ואמרה</w:t>
      </w:r>
      <w:r w:rsidDel="00000000" w:rsidR="00000000" w:rsidRPr="00000000">
        <w:rPr>
          <w:i w:val="1"/>
          <w:rtl w:val="1"/>
        </w:rPr>
        <w:t xml:space="preserve"> "</w:t>
      </w:r>
      <w:r w:rsidDel="00000000" w:rsidR="00000000" w:rsidRPr="00000000">
        <w:rPr>
          <w:i w:val="1"/>
          <w:rtl w:val="1"/>
        </w:rPr>
        <w:t xml:space="preserve">כולה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שלי</w:t>
      </w:r>
      <w:r w:rsidDel="00000000" w:rsidR="00000000" w:rsidRPr="00000000">
        <w:rPr>
          <w:i w:val="1"/>
          <w:rtl w:val="1"/>
        </w:rPr>
        <w:t xml:space="preserve">" </w:t>
      </w:r>
      <w:r w:rsidDel="00000000" w:rsidR="00000000" w:rsidRPr="00000000">
        <w:rPr>
          <w:i w:val="1"/>
          <w:rtl w:val="1"/>
        </w:rPr>
        <w:t xml:space="preserve">היא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בשביל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נטעה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ונחשוב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שהאדם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יכול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לקנות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חפץ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</w:t>
      </w:r>
      <w:r w:rsidDel="00000000" w:rsidR="00000000" w:rsidRPr="00000000">
        <w:rPr>
          <w:i w:val="1"/>
          <w:rtl w:val="1"/>
        </w:rPr>
        <w:t xml:space="preserve">"</w:t>
      </w:r>
      <w:r w:rsidDel="00000000" w:rsidR="00000000" w:rsidRPr="00000000">
        <w:rPr>
          <w:i w:val="1"/>
          <w:rtl w:val="1"/>
        </w:rPr>
        <w:t xml:space="preserve">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הסתכל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עליו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ind w:left="720" w:firstLine="0"/>
        <w:jc w:val="both"/>
        <w:rPr>
          <w:i w:val="1"/>
        </w:rPr>
      </w:pPr>
      <w:r w:rsidDel="00000000" w:rsidR="00000000" w:rsidRPr="00000000">
        <w:rPr>
          <w:i w:val="1"/>
          <w:rtl w:val="1"/>
        </w:rPr>
        <w:t xml:space="preserve">לפי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הגענו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למסקנה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שמי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שהרים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בפועל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החפץ</w:t>
      </w:r>
      <w:r w:rsidDel="00000000" w:rsidR="00000000" w:rsidRPr="00000000">
        <w:rPr>
          <w:i w:val="1"/>
          <w:rtl w:val="1"/>
        </w:rPr>
        <w:t xml:space="preserve">- </w:t>
      </w:r>
      <w:r w:rsidDel="00000000" w:rsidR="00000000" w:rsidRPr="00000000">
        <w:rPr>
          <w:i w:val="1"/>
          <w:rtl w:val="1"/>
        </w:rPr>
        <w:t xml:space="preserve">זכה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בו</w:t>
      </w:r>
      <w:r w:rsidDel="00000000" w:rsidR="00000000" w:rsidRPr="00000000">
        <w:rPr>
          <w:i w:val="1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7">
      <w:pPr>
        <w:tabs>
          <w:tab w:val="left" w:pos="2590"/>
          <w:tab w:val="left" w:pos="5706"/>
        </w:tabs>
        <w:bidi w:val="1"/>
        <w:jc w:val="both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8">
      <w:pPr>
        <w:bidi w:val="1"/>
        <w:ind w:left="720" w:firstLine="0"/>
        <w:jc w:val="both"/>
        <w:rPr>
          <w:rFonts w:ascii="FrankRuehl" w:cs="FrankRuehl" w:eastAsia="FrankRuehl" w:hAnsi="FrankRuehl"/>
          <w:color w:val="000000"/>
          <w:sz w:val="26"/>
          <w:szCs w:val="26"/>
        </w:rPr>
      </w:pP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חוק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המטלטלין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3</w:t>
      </w:r>
    </w:p>
    <w:p w:rsidR="00000000" w:rsidDel="00000000" w:rsidP="00000000" w:rsidRDefault="00000000" w:rsidRPr="00000000" w14:paraId="00000009">
      <w:pPr>
        <w:bidi w:val="1"/>
        <w:ind w:left="720" w:firstLine="0"/>
        <w:jc w:val="both"/>
        <w:rPr>
          <w:b w:val="1"/>
          <w:i w:val="1"/>
        </w:rPr>
      </w:pP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מיטלטלין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להם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בכפוף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לכל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לרכוש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הבעלות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FrankRuehl" w:cs="FrankRuehl" w:eastAsia="FrankRuehl" w:hAnsi="FrankRuehl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בתפישתם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תוך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לזכות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FrankRuehl" w:cs="FrankRuehl" w:eastAsia="FrankRuehl" w:hAnsi="FrankRuehl"/>
          <w:b w:val="1"/>
          <w:i w:val="1"/>
          <w:color w:val="000000"/>
          <w:sz w:val="26"/>
          <w:szCs w:val="26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both"/>
        <w:rPr/>
      </w:pP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ההגיון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בקביעה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שהזכייה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בתפיסה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בראייה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(</w:t>
      </w:r>
      <w:r w:rsidDel="00000000" w:rsidR="00000000" w:rsidRPr="00000000">
        <w:rPr>
          <w:sz w:val="18"/>
          <w:szCs w:val="18"/>
          <w:rtl w:val="1"/>
        </w:rPr>
        <w:t xml:space="preserve">נסה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כמה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שיותר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סיבות</w:t>
      </w:r>
      <w:r w:rsidDel="00000000" w:rsidR="00000000" w:rsidRPr="00000000">
        <w:rPr>
          <w:sz w:val="18"/>
          <w:szCs w:val="18"/>
          <w:rtl w:val="1"/>
        </w:rPr>
        <w:t xml:space="preserve">)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C">
      <w:pPr>
        <w:bidi w:val="1"/>
        <w:jc w:val="both"/>
        <w:rPr/>
      </w:pP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 w14:paraId="0000000D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והא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דאמרי</w:t>
      </w:r>
      <w:r w:rsidDel="00000000" w:rsidR="00000000" w:rsidRPr="00000000">
        <w:rPr>
          <w:sz w:val="28"/>
          <w:szCs w:val="28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בפרק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הבית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והעלייה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לקמן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קיח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ושם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הבטה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בהפקר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קני</w:t>
      </w:r>
    </w:p>
    <w:p w:rsidR="00000000" w:rsidDel="00000000" w:rsidP="00000000" w:rsidRDefault="00000000" w:rsidRPr="00000000" w14:paraId="00000010">
      <w:pPr>
        <w:bidi w:val="1"/>
        <w:ind w:left="14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היינו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מעשה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דהו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כגון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גדר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קטן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jc w:val="both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/>
      </w:pP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tabs>
          <w:tab w:val="left" w:pos="6136"/>
        </w:tabs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  <w:tab/>
      </w:r>
    </w:p>
    <w:p w:rsidR="00000000" w:rsidDel="00000000" w:rsidP="00000000" w:rsidRDefault="00000000" w:rsidRPr="00000000" w14:paraId="00000014">
      <w:pPr>
        <w:bidi w:val="1"/>
        <w:ind w:left="144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כלומר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נחלקו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התנאים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ניתן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לקנות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הבטה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בלבד</w:t>
      </w:r>
      <w:r w:rsidDel="00000000" w:rsidR="00000000" w:rsidRPr="00000000">
        <w:rPr>
          <w:sz w:val="18"/>
          <w:szCs w:val="18"/>
          <w:rtl w:val="1"/>
        </w:rPr>
        <w:t xml:space="preserve">.]</w:t>
      </w:r>
    </w:p>
    <w:p w:rsidR="00000000" w:rsidDel="00000000" w:rsidP="00000000" w:rsidRDefault="00000000" w:rsidRPr="00000000" w14:paraId="00000015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הלשכה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מתנדב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6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כלומר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נחלקו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קמא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ור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יוסי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בעניין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השומרים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מטעם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המקדש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ספיחי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השביעית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בשנת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השמיטה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שלא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ילקחו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כולם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עניים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ושחלקם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ישארו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לקרבן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העומר</w:t>
      </w:r>
      <w:r w:rsidDel="00000000" w:rsidR="00000000" w:rsidRPr="00000000">
        <w:rPr>
          <w:sz w:val="18"/>
          <w:szCs w:val="18"/>
          <w:rtl w:val="1"/>
        </w:rPr>
        <w:t xml:space="preserve">. </w:t>
      </w:r>
      <w:r w:rsidDel="00000000" w:rsidR="00000000" w:rsidRPr="00000000">
        <w:rPr>
          <w:sz w:val="18"/>
          <w:szCs w:val="18"/>
          <w:rtl w:val="1"/>
        </w:rPr>
        <w:t xml:space="preserve">האם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לשלם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שכר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?</w:t>
      </w:r>
    </w:p>
    <w:p w:rsidR="00000000" w:rsidDel="00000000" w:rsidP="00000000" w:rsidRDefault="00000000" w:rsidRPr="00000000" w14:paraId="00000018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לדעת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תנא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קמא</w:t>
      </w:r>
      <w:r w:rsidDel="00000000" w:rsidR="00000000" w:rsidRPr="00000000">
        <w:rPr>
          <w:sz w:val="18"/>
          <w:szCs w:val="18"/>
          <w:rtl w:val="1"/>
        </w:rPr>
        <w:t xml:space="preserve">- </w:t>
      </w:r>
      <w:r w:rsidDel="00000000" w:rsidR="00000000" w:rsidRPr="00000000">
        <w:rPr>
          <w:sz w:val="18"/>
          <w:szCs w:val="18"/>
          <w:rtl w:val="1"/>
        </w:rPr>
        <w:t xml:space="preserve">יש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לתת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שכר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ואילו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לדעת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</w:t>
      </w:r>
      <w:r w:rsidDel="00000000" w:rsidR="00000000" w:rsidRPr="00000000">
        <w:rPr>
          <w:sz w:val="18"/>
          <w:szCs w:val="18"/>
          <w:rtl w:val="1"/>
        </w:rPr>
        <w:t xml:space="preserve">' </w:t>
      </w:r>
      <w:r w:rsidDel="00000000" w:rsidR="00000000" w:rsidRPr="00000000">
        <w:rPr>
          <w:sz w:val="18"/>
          <w:szCs w:val="18"/>
          <w:rtl w:val="1"/>
        </w:rPr>
        <w:t xml:space="preserve">יוסי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רשאים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להתנדב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חכמים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מתנגדים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לאפשרות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להתנדב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וטוענים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שאם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יתנדבו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יצא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שבפועל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החיטים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האלה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שייכים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לשומרים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לציבור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כולו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יהיה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קרבן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יחיד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הגמרא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מניחה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שדעת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חכמים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מתבססת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העובדה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שהשומרים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החפץ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הבטה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בלבד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ורק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במידה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מקבלים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שכר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קונים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בעבור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הציבור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בעבור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עצמם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הגמרא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ממשיכה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לדון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בעניין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אבל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בקטע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לצורך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הבנת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דבריהם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תוספות</w:t>
      </w:r>
      <w:r w:rsidDel="00000000" w:rsidR="00000000" w:rsidRPr="00000000">
        <w:rPr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1"/>
        </w:rPr>
        <w:t xml:space="preserve">כלומר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רואים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כי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יתכן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שהשומרים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זוכים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בחיטים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רק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שומרים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עליהם</w:t>
      </w:r>
      <w:r w:rsidDel="00000000" w:rsidR="00000000" w:rsidRPr="00000000">
        <w:rPr>
          <w:sz w:val="18"/>
          <w:szCs w:val="18"/>
          <w:rtl w:val="1"/>
        </w:rPr>
        <w:t xml:space="preserve">..]</w:t>
      </w:r>
    </w:p>
    <w:p w:rsidR="00000000" w:rsidDel="00000000" w:rsidP="00000000" w:rsidRDefault="00000000" w:rsidRPr="00000000" w14:paraId="0000001E">
      <w:pPr>
        <w:bidi w:val="1"/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!!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הגמרות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4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jc w:val="both"/>
        <w:rPr/>
      </w:pPr>
      <w:r w:rsidDel="00000000" w:rsidR="00000000" w:rsidRPr="00000000">
        <w:rPr>
          <w:rtl w:val="1"/>
        </w:rPr>
        <w:t xml:space="preserve">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8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2D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jc w:val="both"/>
        <w:rPr/>
      </w:pP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2F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both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2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jc w:val="both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3 </w:t>
      </w:r>
      <w:r w:rsidDel="00000000" w:rsidR="00000000" w:rsidRPr="00000000">
        <w:rPr>
          <w:rtl w:val="1"/>
        </w:rPr>
        <w:t xml:space="preserve">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משמעותיות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5">
      <w:pPr>
        <w:bidi w:val="1"/>
        <w:ind w:left="72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ואפילו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הכי</w:t>
      </w:r>
      <w:r w:rsidDel="00000000" w:rsidR="00000000" w:rsidRPr="00000000">
        <w:rPr>
          <w:sz w:val="18"/>
          <w:szCs w:val="18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אסיקנא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6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both"/>
        <w:rPr/>
      </w:pPr>
      <w:r w:rsidDel="00000000" w:rsidR="00000000" w:rsidRPr="00000000">
        <w:rPr>
          <w:rtl w:val="1"/>
        </w:rPr>
        <w:t xml:space="preserve">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38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jc w:val="both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jc w:val="both"/>
        <w:rPr>
          <w:i w:val="1"/>
        </w:rPr>
      </w:pPr>
      <w:r w:rsidDel="00000000" w:rsidR="00000000" w:rsidRPr="00000000">
        <w:rPr>
          <w:i w:val="1"/>
          <w:rtl w:val="1"/>
        </w:rPr>
        <w:t xml:space="preserve">כעת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הבע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דעתך</w:t>
      </w:r>
      <w:r w:rsidDel="00000000" w:rsidR="00000000" w:rsidRPr="00000000">
        <w:rPr>
          <w:i w:val="1"/>
          <w:rtl w:val="1"/>
        </w:rPr>
        <w:t xml:space="preserve">-, </w:t>
      </w:r>
      <w:r w:rsidDel="00000000" w:rsidR="00000000" w:rsidRPr="00000000">
        <w:rPr>
          <w:i w:val="1"/>
          <w:rtl w:val="1"/>
        </w:rPr>
        <w:t xml:space="preserve">האם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מבחינה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מוסרית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ראוי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לקחת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חפץ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לחבירו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למרות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ראה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קודם</w:t>
      </w:r>
      <w:r w:rsidDel="00000000" w:rsidR="00000000" w:rsidRPr="00000000">
        <w:rPr>
          <w:i w:val="1"/>
          <w:rtl w:val="1"/>
        </w:rPr>
        <w:t xml:space="preserve">?- </w:t>
      </w:r>
      <w:r w:rsidDel="00000000" w:rsidR="00000000" w:rsidRPr="00000000">
        <w:rPr>
          <w:i w:val="1"/>
          <w:rtl w:val="1"/>
        </w:rPr>
        <w:t xml:space="preserve">נסו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לתת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סיבה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מדוע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מוסרי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ומדוע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מוסרי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158750</wp:posOffset>
            </wp:positionH>
            <wp:positionV relativeFrom="paragraph">
              <wp:posOffset>244475</wp:posOffset>
            </wp:positionV>
            <wp:extent cx="891894" cy="873760"/>
            <wp:effectExtent b="0" l="0" r="0" t="0"/>
            <wp:wrapNone/>
            <wp:docPr descr="פרק ב': כפיפות המגשר לכללי אתיקה - יניב שוורצמן" id="20" name="image2.jpg"/>
            <a:graphic>
              <a:graphicData uri="http://schemas.openxmlformats.org/drawingml/2006/picture">
                <pic:pic>
                  <pic:nvPicPr>
                    <pic:cNvPr descr="פרק ב': כפיפות המגשר לכללי אתיקה - יניב שוורצמן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1894" cy="873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B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בפיאה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מופיעה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40">
      <w:pPr>
        <w:tabs>
          <w:tab w:val="left" w:pos="3166"/>
        </w:tabs>
        <w:bidi w:val="1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ind w:left="720" w:firstLine="0"/>
        <w:rPr>
          <w:sz w:val="18"/>
          <w:szCs w:val="18"/>
        </w:rPr>
      </w:pP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אחד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העניים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rtl w:val="1"/>
        </w:rPr>
        <w:t xml:space="preserve">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שלקט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לעצמו</w:t>
      </w:r>
      <w:r w:rsidDel="00000000" w:rsidR="00000000" w:rsidRPr="00000000">
        <w:rPr>
          <w:sz w:val="18"/>
          <w:szCs w:val="18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שעדיין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נתלשה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וסבר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שבכך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קונה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השאר</w:t>
      </w:r>
      <w:r w:rsidDel="00000000" w:rsidR="00000000" w:rsidRPr="00000000">
        <w:rPr>
          <w:sz w:val="18"/>
          <w:szCs w:val="18"/>
          <w:rtl w:val="1"/>
        </w:rPr>
        <w:t xml:space="preserve">]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שקונסים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ונוטלים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אפילו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שכבר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לקט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שרצה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להעלים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יתר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משאר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העניים</w:t>
      </w:r>
      <w:r w:rsidDel="00000000" w:rsidR="00000000" w:rsidRPr="00000000">
        <w:rPr>
          <w:sz w:val="18"/>
          <w:szCs w:val="18"/>
          <w:rtl w:val="1"/>
        </w:rPr>
        <w:t xml:space="preserve">]</w:t>
      </w:r>
    </w:p>
    <w:p w:rsidR="00000000" w:rsidDel="00000000" w:rsidP="00000000" w:rsidRDefault="00000000" w:rsidRPr="00000000" w14:paraId="00000042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הפיל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עצמו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הפאה</w:t>
      </w:r>
      <w:r w:rsidDel="00000000" w:rsidR="00000000" w:rsidRPr="00000000">
        <w:rPr>
          <w:sz w:val="18"/>
          <w:szCs w:val="18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[</w:t>
      </w:r>
      <w:r w:rsidDel="00000000" w:rsidR="00000000" w:rsidRPr="00000000">
        <w:rPr>
          <w:sz w:val="18"/>
          <w:szCs w:val="18"/>
          <w:rtl w:val="1"/>
        </w:rPr>
        <w:t xml:space="preserve">שפרס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בגדו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מנת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לזכות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</w:t>
      </w:r>
      <w:r w:rsidDel="00000000" w:rsidR="00000000" w:rsidRPr="00000000">
        <w:rPr>
          <w:sz w:val="18"/>
          <w:szCs w:val="18"/>
          <w:rtl w:val="1"/>
        </w:rPr>
        <w:t xml:space="preserve">]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מעבירין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18"/>
          <w:szCs w:val="18"/>
          <w:rtl w:val="1"/>
        </w:rPr>
        <w:t xml:space="preserve"> [</w:t>
      </w:r>
      <w:r w:rsidDel="00000000" w:rsidR="00000000" w:rsidRPr="00000000">
        <w:rPr>
          <w:sz w:val="18"/>
          <w:szCs w:val="18"/>
          <w:rtl w:val="1"/>
        </w:rPr>
        <w:t xml:space="preserve">נוטלים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ממנו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את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הפאה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שנפל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או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שפרס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טליתו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עליה</w:t>
      </w:r>
      <w:r w:rsidDel="00000000" w:rsidR="00000000" w:rsidRPr="00000000">
        <w:rPr>
          <w:sz w:val="18"/>
          <w:szCs w:val="18"/>
          <w:rtl w:val="1"/>
        </w:rPr>
        <w:t xml:space="preserve">, </w:t>
      </w:r>
      <w:r w:rsidDel="00000000" w:rsidR="00000000" w:rsidRPr="00000000">
        <w:rPr>
          <w:sz w:val="18"/>
          <w:szCs w:val="18"/>
          <w:rtl w:val="1"/>
        </w:rPr>
        <w:t xml:space="preserve">משום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שהוא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לא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זכה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בה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על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ידי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הדרכים</w:t>
      </w:r>
      <w:r w:rsidDel="00000000" w:rsidR="00000000" w:rsidRPr="00000000">
        <w:rPr>
          <w:sz w:val="18"/>
          <w:szCs w:val="18"/>
          <w:rtl w:val="1"/>
        </w:rPr>
        <w:t xml:space="preserve"> </w:t>
      </w:r>
      <w:r w:rsidDel="00000000" w:rsidR="00000000" w:rsidRPr="00000000">
        <w:rPr>
          <w:sz w:val="18"/>
          <w:szCs w:val="18"/>
          <w:rtl w:val="1"/>
        </w:rPr>
        <w:t xml:space="preserve">האלו</w:t>
      </w:r>
      <w:r w:rsidDel="00000000" w:rsidR="00000000" w:rsidRPr="00000000">
        <w:rPr>
          <w:sz w:val="18"/>
          <w:szCs w:val="18"/>
          <w:rtl w:val="1"/>
        </w:rPr>
        <w:t xml:space="preserve">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bidi w:val="1"/>
        <w:jc w:val="both"/>
        <w:rPr/>
      </w:pP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!!- </w:t>
      </w: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מההפקר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נמק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דבריך</w:t>
      </w:r>
      <w:r w:rsidDel="00000000" w:rsidR="00000000" w:rsidRPr="00000000">
        <w:rPr>
          <w:rtl w:val="1"/>
        </w:rPr>
        <w:t xml:space="preserve">!!</w:t>
      </w:r>
    </w:p>
    <w:p w:rsidR="00000000" w:rsidDel="00000000" w:rsidP="00000000" w:rsidRDefault="00000000" w:rsidRPr="00000000" w14:paraId="00000044">
      <w:pPr>
        <w:bidi w:val="1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bidi w:val="1"/>
        <w:jc w:val="both"/>
        <w:rPr/>
      </w:pP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בהתייחסו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פורט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6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בהניזקין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והעליה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הבטה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כדפרישית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מכילתין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8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..</w:t>
      </w:r>
    </w:p>
    <w:p w:rsidR="00000000" w:rsidDel="00000000" w:rsidP="00000000" w:rsidRDefault="00000000" w:rsidRPr="00000000" w14:paraId="0000004A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יחפור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מרחיקין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שהדייגים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מצודותיהן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לחיותאי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4B">
      <w:pPr>
        <w:bidi w:val="1"/>
        <w:ind w:left="720" w:firstLine="0"/>
        <w:jc w:val="both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במכמורות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שיתקבצו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וילכדו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שמרחיקין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C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jc w:val="both"/>
        <w:rPr/>
      </w:pP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הולכים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ופתאום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מזהה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התלהבות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מכריז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וניגש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שזריז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השטר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פגם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במעשהו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ניגש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ופורס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ופתיון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ומתחיל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ניגש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סליחה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תחפש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16"/>
        </w:tabs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וממתין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למוצאי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ובזריזות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סליחה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ראובן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מהצהריים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96"/>
        </w:tabs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החליט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משדרג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הפלאפון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והציע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למחירה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700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מהכספומט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כשחזר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הופתע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שאהרון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ניגש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שיצא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ושילם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מתלונן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הודעתי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הלכתי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להוציא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צודק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bidi w:val="1"/>
        <w:spacing w:after="0" w:lineRule="auto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63">
      <w:pPr>
        <w:bidi w:val="1"/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7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שלפנינו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7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בגמרא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קיח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דיעה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הסוברת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7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בהבטה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מתאפשרת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ונלווה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7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לדעת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טורח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ושומר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סתם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קונה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שנפסק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הבטה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טרחה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87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מדברי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הרא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במידה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וחבירו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לקנותו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מציאויות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59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האסורים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31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טרח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31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תיקח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תקפח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פרנסתו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2310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שאתה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607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המקרים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המותרים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2327" w:right="567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במציאות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טרח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להשיג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החפץ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כהפקר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70">
      <w:pPr>
        <w:bidi w:val="1"/>
        <w:ind w:left="720" w:right="567" w:firstLine="0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(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לציין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שמדברי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בקידושין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נט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עולה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שגם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במקרה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ישנו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איסור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המהפך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בחררה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rankRueh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🗷"/>
      <w:lvlJc w:val="left"/>
      <w:pPr>
        <w:ind w:left="15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9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5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2310" w:hanging="360"/>
      </w:pPr>
      <w:rPr/>
    </w:lvl>
    <w:lvl w:ilvl="1">
      <w:start w:val="1"/>
      <w:numFmt w:val="lowerLetter"/>
      <w:lvlText w:val="%2."/>
      <w:lvlJc w:val="left"/>
      <w:pPr>
        <w:ind w:left="3030" w:hanging="360"/>
      </w:pPr>
      <w:rPr/>
    </w:lvl>
    <w:lvl w:ilvl="2">
      <w:start w:val="1"/>
      <w:numFmt w:val="lowerRoman"/>
      <w:lvlText w:val="%3."/>
      <w:lvlJc w:val="right"/>
      <w:pPr>
        <w:ind w:left="3750" w:hanging="180"/>
      </w:pPr>
      <w:rPr/>
    </w:lvl>
    <w:lvl w:ilvl="3">
      <w:start w:val="1"/>
      <w:numFmt w:val="decimal"/>
      <w:lvlText w:val="%4."/>
      <w:lvlJc w:val="left"/>
      <w:pPr>
        <w:ind w:left="4470" w:hanging="360"/>
      </w:pPr>
      <w:rPr/>
    </w:lvl>
    <w:lvl w:ilvl="4">
      <w:start w:val="1"/>
      <w:numFmt w:val="lowerLetter"/>
      <w:lvlText w:val="%5."/>
      <w:lvlJc w:val="left"/>
      <w:pPr>
        <w:ind w:left="5190" w:hanging="360"/>
      </w:pPr>
      <w:rPr/>
    </w:lvl>
    <w:lvl w:ilvl="5">
      <w:start w:val="1"/>
      <w:numFmt w:val="lowerRoman"/>
      <w:lvlText w:val="%6."/>
      <w:lvlJc w:val="right"/>
      <w:pPr>
        <w:ind w:left="5910" w:hanging="180"/>
      </w:pPr>
      <w:rPr/>
    </w:lvl>
    <w:lvl w:ilvl="6">
      <w:start w:val="1"/>
      <w:numFmt w:val="decimal"/>
      <w:lvlText w:val="%7."/>
      <w:lvlJc w:val="left"/>
      <w:pPr>
        <w:ind w:left="6630" w:hanging="360"/>
      </w:pPr>
      <w:rPr/>
    </w:lvl>
    <w:lvl w:ilvl="7">
      <w:start w:val="1"/>
      <w:numFmt w:val="lowerLetter"/>
      <w:lvlText w:val="%8."/>
      <w:lvlJc w:val="left"/>
      <w:pPr>
        <w:ind w:left="7350" w:hanging="360"/>
      </w:pPr>
      <w:rPr/>
    </w:lvl>
    <w:lvl w:ilvl="8">
      <w:start w:val="1"/>
      <w:numFmt w:val="lowerRoman"/>
      <w:lvlText w:val="%9."/>
      <w:lvlJc w:val="right"/>
      <w:pPr>
        <w:ind w:left="807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267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3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1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8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5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2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7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43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2327" w:hanging="360"/>
      </w:pPr>
      <w:rPr/>
    </w:lvl>
    <w:lvl w:ilvl="1">
      <w:start w:val="1"/>
      <w:numFmt w:val="lowerLetter"/>
      <w:lvlText w:val="%2."/>
      <w:lvlJc w:val="left"/>
      <w:pPr>
        <w:ind w:left="3047" w:hanging="360"/>
      </w:pPr>
      <w:rPr/>
    </w:lvl>
    <w:lvl w:ilvl="2">
      <w:start w:val="1"/>
      <w:numFmt w:val="lowerRoman"/>
      <w:lvlText w:val="%3."/>
      <w:lvlJc w:val="right"/>
      <w:pPr>
        <w:ind w:left="3767" w:hanging="180"/>
      </w:pPr>
      <w:rPr/>
    </w:lvl>
    <w:lvl w:ilvl="3">
      <w:start w:val="1"/>
      <w:numFmt w:val="decimal"/>
      <w:lvlText w:val="%4."/>
      <w:lvlJc w:val="left"/>
      <w:pPr>
        <w:ind w:left="4487" w:hanging="360"/>
      </w:pPr>
      <w:rPr/>
    </w:lvl>
    <w:lvl w:ilvl="4">
      <w:start w:val="1"/>
      <w:numFmt w:val="lowerLetter"/>
      <w:lvlText w:val="%5."/>
      <w:lvlJc w:val="left"/>
      <w:pPr>
        <w:ind w:left="5207" w:hanging="360"/>
      </w:pPr>
      <w:rPr/>
    </w:lvl>
    <w:lvl w:ilvl="5">
      <w:start w:val="1"/>
      <w:numFmt w:val="lowerRoman"/>
      <w:lvlText w:val="%6."/>
      <w:lvlJc w:val="right"/>
      <w:pPr>
        <w:ind w:left="5927" w:hanging="180"/>
      </w:pPr>
      <w:rPr/>
    </w:lvl>
    <w:lvl w:ilvl="6">
      <w:start w:val="1"/>
      <w:numFmt w:val="decimal"/>
      <w:lvlText w:val="%7."/>
      <w:lvlJc w:val="left"/>
      <w:pPr>
        <w:ind w:left="6647" w:hanging="360"/>
      </w:pPr>
      <w:rPr/>
    </w:lvl>
    <w:lvl w:ilvl="7">
      <w:start w:val="1"/>
      <w:numFmt w:val="lowerLetter"/>
      <w:lvlText w:val="%8."/>
      <w:lvlJc w:val="left"/>
      <w:pPr>
        <w:ind w:left="7367" w:hanging="360"/>
      </w:pPr>
      <w:rPr/>
    </w:lvl>
    <w:lvl w:ilvl="8">
      <w:start w:val="1"/>
      <w:numFmt w:val="lowerRoman"/>
      <w:lvlText w:val="%9."/>
      <w:lvlJc w:val="right"/>
      <w:pPr>
        <w:ind w:left="8087" w:hanging="180"/>
      </w:pPr>
      <w:rPr/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big-number" w:customStyle="1">
    <w:name w:val="big-number"/>
    <w:basedOn w:val="a0"/>
    <w:rsid w:val="00EC1780"/>
  </w:style>
  <w:style w:type="character" w:styleId="default" w:customStyle="1">
    <w:name w:val="default"/>
    <w:basedOn w:val="a0"/>
    <w:rsid w:val="00EC1780"/>
  </w:style>
  <w:style w:type="paragraph" w:styleId="a3">
    <w:name w:val="List Paragraph"/>
    <w:basedOn w:val="a"/>
    <w:uiPriority w:val="34"/>
    <w:qFormat w:val="1"/>
    <w:rsid w:val="0001614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bSqyIDxAaH4erfEqIclAj4tDQ==">AMUW2mUamNWJLjshU9M1KPwF50sXdLTV53bhESkJHQYf0muQ04tBbQ6VmrRwusIQRiooS0GIHM2uOD1UueFmL7od4LIoZqk9XlMr6YrM+zqsoWI93Bauvo/mZfjs8jZZ1lMMyXWNRM94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2020-07-30T19:09:00Z</dcterms:created>
  <dc:creator>יוסף סוראני</dc:creator>
</cp:coreProperties>
</file>