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1383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3684"/>
        <w:gridCol w:w="2129"/>
        <w:gridCol w:w="708"/>
        <w:gridCol w:w="1645"/>
        <w:gridCol w:w="1103"/>
        <w:gridCol w:w="1013"/>
        <w:gridCol w:w="1101"/>
      </w:tblGrid>
      <w:tr w:rsidR="005416AF" w:rsidRPr="00200610" w14:paraId="34E9F7B6" w14:textId="77777777" w:rsidTr="00735297">
        <w:tc>
          <w:tcPr>
            <w:tcW w:w="11383" w:type="dxa"/>
            <w:gridSpan w:val="7"/>
            <w:vAlign w:val="center"/>
          </w:tcPr>
          <w:p w14:paraId="07467458" w14:textId="5D9521F9" w:rsidR="005416AF" w:rsidRPr="00200610" w:rsidRDefault="00E7544E" w:rsidP="00931ED6">
            <w:pPr>
              <w:jc w:val="center"/>
              <w:rPr>
                <w:rFonts w:asciiTheme="minorHAnsi" w:hAnsiTheme="minorHAnsi" w:cs="Arial"/>
                <w:sz w:val="32"/>
                <w:szCs w:val="32"/>
              </w:rPr>
            </w:pPr>
            <w:r w:rsidRPr="0B08ADCA">
              <w:rPr>
                <w:rFonts w:asciiTheme="minorHAnsi" w:hAnsiTheme="minorHAnsi" w:cs="Arial"/>
                <w:b/>
                <w:smallCaps/>
                <w:sz w:val="32"/>
                <w:szCs w:val="32"/>
              </w:rPr>
              <w:t>Trabajo Final</w:t>
            </w:r>
          </w:p>
        </w:tc>
      </w:tr>
      <w:tr w:rsidR="00735297" w:rsidRPr="00200610" w14:paraId="46722834" w14:textId="77777777" w:rsidTr="00735297">
        <w:trPr>
          <w:trHeight w:val="420"/>
        </w:trPr>
        <w:tc>
          <w:tcPr>
            <w:tcW w:w="3684" w:type="dxa"/>
            <w:vAlign w:val="center"/>
          </w:tcPr>
          <w:p w14:paraId="0ED0CD3F" w14:textId="77777777" w:rsidR="00B5715E" w:rsidRPr="00200610" w:rsidRDefault="00E7544E" w:rsidP="00931ED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76F8E03C">
              <w:rPr>
                <w:rFonts w:asciiTheme="minorHAnsi" w:hAnsiTheme="minorHAnsi" w:cs="Arial"/>
                <w:b/>
                <w:sz w:val="22"/>
                <w:szCs w:val="22"/>
              </w:rPr>
              <w:t>Letra Asignada</w:t>
            </w:r>
          </w:p>
        </w:tc>
        <w:tc>
          <w:tcPr>
            <w:tcW w:w="2837" w:type="dxa"/>
            <w:gridSpan w:val="2"/>
            <w:vAlign w:val="center"/>
          </w:tcPr>
          <w:p w14:paraId="7B5EB257" w14:textId="3B1CAAAD" w:rsidR="00B5715E" w:rsidRPr="00200610" w:rsidRDefault="0052460A" w:rsidP="00931ED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76F8E03C">
              <w:rPr>
                <w:rFonts w:asciiTheme="minorHAnsi" w:hAnsiTheme="minorHAnsi" w:cs="Arial"/>
                <w:sz w:val="22"/>
                <w:szCs w:val="22"/>
              </w:rPr>
              <w:t>H</w:t>
            </w:r>
          </w:p>
        </w:tc>
        <w:tc>
          <w:tcPr>
            <w:tcW w:w="1645" w:type="dxa"/>
            <w:vAlign w:val="center"/>
          </w:tcPr>
          <w:p w14:paraId="7AECA63E" w14:textId="77777777" w:rsidR="00B5715E" w:rsidRPr="00200610" w:rsidRDefault="00E7544E" w:rsidP="00931ED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76F8E03C">
              <w:rPr>
                <w:rFonts w:asciiTheme="minorHAnsi" w:hAnsiTheme="minorHAnsi" w:cs="Arial"/>
                <w:b/>
                <w:sz w:val="22"/>
                <w:szCs w:val="22"/>
              </w:rPr>
              <w:t>Fecha</w:t>
            </w:r>
          </w:p>
        </w:tc>
        <w:tc>
          <w:tcPr>
            <w:tcW w:w="1103" w:type="dxa"/>
            <w:vAlign w:val="center"/>
          </w:tcPr>
          <w:p w14:paraId="63B2956D" w14:textId="03D3A7E9" w:rsidR="00B5715E" w:rsidRPr="00200610" w:rsidRDefault="00B87A5D" w:rsidP="00931ED6">
            <w:pPr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</w:pPr>
            <w:r w:rsidRPr="76F8E03C">
              <w:rPr>
                <w:rFonts w:asciiTheme="minorHAnsi" w:hAnsiTheme="minorHAnsi" w:cs="Arial"/>
                <w:b/>
                <w:color w:val="7F7F7F" w:themeColor="text1" w:themeTint="80"/>
                <w:sz w:val="22"/>
                <w:szCs w:val="22"/>
              </w:rPr>
              <w:t>14</w:t>
            </w:r>
          </w:p>
        </w:tc>
        <w:tc>
          <w:tcPr>
            <w:tcW w:w="1013" w:type="dxa"/>
            <w:vAlign w:val="center"/>
          </w:tcPr>
          <w:p w14:paraId="551B6F02" w14:textId="6684FBE0" w:rsidR="00B5715E" w:rsidRPr="00200610" w:rsidRDefault="00B87A5D" w:rsidP="00931ED6">
            <w:pPr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</w:pPr>
            <w:r w:rsidRPr="76F8E03C">
              <w:rPr>
                <w:rFonts w:asciiTheme="minorHAnsi" w:hAnsiTheme="minorHAnsi" w:cs="Arial"/>
                <w:b/>
                <w:color w:val="7F7F7F" w:themeColor="text1" w:themeTint="80"/>
                <w:sz w:val="22"/>
                <w:szCs w:val="22"/>
              </w:rPr>
              <w:t>11</w:t>
            </w:r>
          </w:p>
        </w:tc>
        <w:tc>
          <w:tcPr>
            <w:tcW w:w="1101" w:type="dxa"/>
            <w:vAlign w:val="center"/>
          </w:tcPr>
          <w:p w14:paraId="187E7599" w14:textId="6F339BBA" w:rsidR="00B87A5D" w:rsidRPr="00200610" w:rsidRDefault="00B87A5D" w:rsidP="00931ED6">
            <w:pPr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</w:pPr>
            <w:r w:rsidRPr="76F8E03C">
              <w:rPr>
                <w:rFonts w:asciiTheme="minorHAnsi" w:hAnsiTheme="minorHAnsi" w:cs="Arial"/>
                <w:b/>
                <w:color w:val="7F7F7F" w:themeColor="text1" w:themeTint="80"/>
                <w:sz w:val="22"/>
                <w:szCs w:val="22"/>
              </w:rPr>
              <w:t>2019</w:t>
            </w:r>
          </w:p>
        </w:tc>
      </w:tr>
      <w:tr w:rsidR="00B5715E" w:rsidRPr="00200610" w14:paraId="6F5548AF" w14:textId="77777777" w:rsidTr="00735297">
        <w:trPr>
          <w:trHeight w:val="250"/>
        </w:trPr>
        <w:tc>
          <w:tcPr>
            <w:tcW w:w="11383" w:type="dxa"/>
            <w:gridSpan w:val="7"/>
          </w:tcPr>
          <w:p w14:paraId="247D2085" w14:textId="36BEAD50" w:rsidR="00E7544E" w:rsidRPr="00200610" w:rsidRDefault="00E7544E" w:rsidP="00931ED6">
            <w:pPr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708DD1B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Recomendación</w:t>
            </w:r>
            <w:r w:rsidRPr="76F8E03C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 </w:t>
            </w:r>
            <w:r w:rsidR="008C7A5A" w:rsidRPr="76F8E03C">
              <w:rPr>
                <w:rFonts w:asciiTheme="minorHAnsi" w:hAnsiTheme="minorHAnsi" w:cs="Arial"/>
                <w:smallCaps/>
                <w:sz w:val="22"/>
                <w:szCs w:val="22"/>
              </w:rPr>
              <w:t>(</w:t>
            </w:r>
            <w:r w:rsidR="003C405D" w:rsidRPr="76F8E03C">
              <w:rPr>
                <w:rFonts w:asciiTheme="minorHAnsi" w:hAnsiTheme="minorHAnsi" w:cs="Arial"/>
                <w:sz w:val="22"/>
                <w:szCs w:val="22"/>
              </w:rPr>
              <w:t>Máximo 10</w:t>
            </w:r>
            <w:r w:rsidRPr="76F8E03C">
              <w:rPr>
                <w:rFonts w:asciiTheme="minorHAnsi" w:hAnsiTheme="minorHAnsi" w:cs="Arial"/>
                <w:sz w:val="22"/>
                <w:szCs w:val="22"/>
              </w:rPr>
              <w:t>0 palabras</w:t>
            </w:r>
            <w:r w:rsidRPr="76F8E03C">
              <w:rPr>
                <w:rFonts w:asciiTheme="minorHAnsi" w:hAnsiTheme="minorHAnsi" w:cs="Arial"/>
                <w:smallCaps/>
                <w:sz w:val="22"/>
                <w:szCs w:val="22"/>
              </w:rPr>
              <w:t>)</w:t>
            </w:r>
            <w:r w:rsidR="008C7A5A" w:rsidRPr="76F8E03C">
              <w:rPr>
                <w:rFonts w:asciiTheme="minorHAnsi" w:hAnsiTheme="minorHAnsi" w:cs="Arial"/>
                <w:smallCaps/>
                <w:sz w:val="22"/>
                <w:szCs w:val="22"/>
              </w:rPr>
              <w:t xml:space="preserve"> 5 puntos contenido</w:t>
            </w:r>
          </w:p>
        </w:tc>
      </w:tr>
      <w:tr w:rsidR="00E7544E" w:rsidRPr="00427754" w14:paraId="601B225A" w14:textId="77777777" w:rsidTr="00735297">
        <w:trPr>
          <w:trHeight w:val="1262"/>
        </w:trPr>
        <w:tc>
          <w:tcPr>
            <w:tcW w:w="11383" w:type="dxa"/>
            <w:gridSpan w:val="7"/>
          </w:tcPr>
          <w:p w14:paraId="35D24E85" w14:textId="2E84C54F" w:rsidR="00E7544E" w:rsidRPr="00312EE4" w:rsidRDefault="00C14090" w:rsidP="00312EE4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12EE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Mineros S.A. es un </w:t>
            </w:r>
            <w:r w:rsidR="00815093">
              <w:rPr>
                <w:rFonts w:asciiTheme="minorHAnsi" w:eastAsia="Calibri" w:hAnsiTheme="minorHAnsi" w:cstheme="minorHAnsi"/>
                <w:sz w:val="20"/>
                <w:szCs w:val="20"/>
              </w:rPr>
              <w:t>g</w:t>
            </w:r>
            <w:r w:rsidRPr="00312EE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rupo </w:t>
            </w:r>
            <w:r w:rsidR="007E5796">
              <w:rPr>
                <w:rFonts w:asciiTheme="minorHAnsi" w:eastAsia="Calibri" w:hAnsiTheme="minorHAnsi" w:cstheme="minorHAnsi"/>
                <w:sz w:val="20"/>
                <w:szCs w:val="20"/>
              </w:rPr>
              <w:t>e</w:t>
            </w:r>
            <w:r w:rsidRPr="00312EE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mpresarial </w:t>
            </w:r>
            <w:r w:rsidR="007E5796">
              <w:rPr>
                <w:rFonts w:asciiTheme="minorHAnsi" w:eastAsia="Calibri" w:hAnsiTheme="minorHAnsi" w:cstheme="minorHAnsi"/>
                <w:sz w:val="20"/>
                <w:szCs w:val="20"/>
              </w:rPr>
              <w:t>p</w:t>
            </w:r>
            <w:r w:rsidRPr="00312EE4">
              <w:rPr>
                <w:rFonts w:asciiTheme="minorHAnsi" w:eastAsia="Calibri" w:hAnsiTheme="minorHAnsi" w:cstheme="minorHAnsi"/>
                <w:sz w:val="20"/>
                <w:szCs w:val="20"/>
              </w:rPr>
              <w:t>rivado colombiano, con una experiencia de 45 años frente a la explotación y exploración de metales preciosos, especialmente oro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, e</w:t>
            </w:r>
            <w:r w:rsidRPr="00312EE4">
              <w:rPr>
                <w:rFonts w:asciiTheme="minorHAnsi" w:eastAsia="Calibri" w:hAnsiTheme="minorHAnsi" w:cstheme="minorHAnsi"/>
                <w:sz w:val="20"/>
                <w:szCs w:val="20"/>
              </w:rPr>
              <w:t>nfocad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o</w:t>
            </w:r>
            <w:r w:rsidRPr="00312EE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en la operación Aluvial, Subterránea y Cielo Abierto, con presencia en Colombia, Nicaragua y Argentina, y reciente exploración en Chile.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además, opera</w:t>
            </w:r>
            <w:r w:rsidRPr="0033236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proyectos agroindustriales con plantaciones de caucho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4B710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productoras de </w:t>
            </w:r>
            <w:r w:rsidR="00815093">
              <w:rPr>
                <w:rFonts w:asciiTheme="minorHAnsi" w:eastAsia="Calibri" w:hAnsiTheme="minorHAnsi" w:cstheme="minorHAnsi"/>
                <w:sz w:val="20"/>
                <w:szCs w:val="20"/>
              </w:rPr>
              <w:t>látex</w:t>
            </w:r>
            <w:r w:rsidRPr="00312EE4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312EE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Frente al análisis de crédito, la recomendación de los analistas del Grupo H es no prestar el 5% de los Ingresos </w:t>
            </w:r>
            <w:r w:rsidR="00A70331">
              <w:rPr>
                <w:rFonts w:asciiTheme="minorHAnsi" w:eastAsia="Calibri" w:hAnsiTheme="minorHAnsi" w:cstheme="minorHAnsi"/>
                <w:sz w:val="20"/>
                <w:szCs w:val="20"/>
              </w:rPr>
              <w:t>o</w:t>
            </w:r>
            <w:r w:rsidRPr="00312EE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peracionales a corto plazo, teniendo como argumentos, la Rentabilidad de la compañía, la Estructura de </w:t>
            </w:r>
            <w:r w:rsidR="00815093">
              <w:rPr>
                <w:rFonts w:asciiTheme="minorHAnsi" w:eastAsia="Calibri" w:hAnsiTheme="minorHAnsi" w:cstheme="minorHAnsi"/>
                <w:sz w:val="20"/>
                <w:szCs w:val="20"/>
              </w:rPr>
              <w:t>c</w:t>
            </w:r>
            <w:r w:rsidRPr="00312EE4">
              <w:rPr>
                <w:rFonts w:asciiTheme="minorHAnsi" w:eastAsia="Calibri" w:hAnsiTheme="minorHAnsi" w:cstheme="minorHAnsi"/>
                <w:sz w:val="20"/>
                <w:szCs w:val="20"/>
              </w:rPr>
              <w:t>apital, y la Liquidez.</w:t>
            </w:r>
          </w:p>
        </w:tc>
      </w:tr>
      <w:tr w:rsidR="003C405D" w:rsidRPr="00931ED6" w14:paraId="364DE9EF" w14:textId="77777777" w:rsidTr="00735297">
        <w:trPr>
          <w:trHeight w:val="275"/>
        </w:trPr>
        <w:tc>
          <w:tcPr>
            <w:tcW w:w="11383" w:type="dxa"/>
            <w:gridSpan w:val="7"/>
          </w:tcPr>
          <w:p w14:paraId="0D133E69" w14:textId="101C2F02" w:rsidR="003C405D" w:rsidRPr="003C405D" w:rsidRDefault="003C405D" w:rsidP="00931ED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49D3ABDD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Análisis Macroeconómico </w:t>
            </w:r>
            <w:r w:rsidRPr="49D3ABDD">
              <w:rPr>
                <w:rFonts w:asciiTheme="minorHAnsi" w:hAnsiTheme="minorHAnsi" w:cs="Arial"/>
                <w:smallCaps/>
                <w:sz w:val="22"/>
                <w:szCs w:val="22"/>
              </w:rPr>
              <w:t>(</w:t>
            </w:r>
            <w:r w:rsidRPr="49D3ABDD">
              <w:rPr>
                <w:rFonts w:asciiTheme="minorHAnsi" w:hAnsiTheme="minorHAnsi" w:cs="Arial"/>
                <w:sz w:val="22"/>
                <w:szCs w:val="22"/>
              </w:rPr>
              <w:t xml:space="preserve">Máximo </w:t>
            </w:r>
            <w:r w:rsidR="00427754" w:rsidRPr="49D3ABDD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Pr="49D3ABDD">
              <w:rPr>
                <w:rFonts w:asciiTheme="minorHAnsi" w:hAnsiTheme="minorHAnsi" w:cs="Arial"/>
                <w:sz w:val="22"/>
                <w:szCs w:val="22"/>
              </w:rPr>
              <w:t>00 palabras</w:t>
            </w:r>
            <w:r w:rsidRPr="49D3ABDD">
              <w:rPr>
                <w:rFonts w:asciiTheme="minorHAnsi" w:hAnsiTheme="minorHAnsi" w:cs="Arial"/>
                <w:smallCaps/>
                <w:sz w:val="22"/>
                <w:szCs w:val="22"/>
              </w:rPr>
              <w:t xml:space="preserve">): Principales riesgos </w:t>
            </w:r>
            <w:r w:rsidR="00C9002E" w:rsidRPr="49D3ABDD">
              <w:rPr>
                <w:rFonts w:asciiTheme="minorHAnsi" w:hAnsiTheme="minorHAnsi" w:cs="Arial"/>
                <w:smallCaps/>
                <w:sz w:val="22"/>
                <w:szCs w:val="22"/>
              </w:rPr>
              <w:t xml:space="preserve">para la empresa </w:t>
            </w:r>
            <w:r w:rsidRPr="49D3ABDD">
              <w:rPr>
                <w:rFonts w:asciiTheme="minorHAnsi" w:hAnsiTheme="minorHAnsi" w:cs="Arial"/>
                <w:smallCaps/>
                <w:sz w:val="22"/>
                <w:szCs w:val="22"/>
              </w:rPr>
              <w:t>/ Mitigantes</w:t>
            </w:r>
            <w:r w:rsidR="008C7A5A" w:rsidRPr="49D3ABDD">
              <w:rPr>
                <w:rFonts w:asciiTheme="minorHAnsi" w:hAnsiTheme="minorHAnsi" w:cs="Arial"/>
                <w:smallCaps/>
                <w:sz w:val="22"/>
                <w:szCs w:val="22"/>
              </w:rPr>
              <w:t xml:space="preserve"> 5 puntos contenido</w:t>
            </w:r>
          </w:p>
        </w:tc>
      </w:tr>
      <w:tr w:rsidR="003C405D" w:rsidRPr="00427754" w14:paraId="4E784018" w14:textId="77777777" w:rsidTr="00735297">
        <w:trPr>
          <w:trHeight w:val="281"/>
        </w:trPr>
        <w:tc>
          <w:tcPr>
            <w:tcW w:w="11383" w:type="dxa"/>
            <w:gridSpan w:val="7"/>
          </w:tcPr>
          <w:p w14:paraId="53B47EFB" w14:textId="015411F4" w:rsidR="009B6344" w:rsidRPr="00470917" w:rsidRDefault="00FC56E8" w:rsidP="1CEE6F0C">
            <w:pPr>
              <w:spacing w:after="160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1CEE6F0C">
              <w:rPr>
                <w:rFonts w:asciiTheme="minorHAnsi" w:hAnsiTheme="minorHAnsi" w:cstheme="minorBidi"/>
                <w:sz w:val="20"/>
                <w:szCs w:val="20"/>
              </w:rPr>
              <w:t>En primer lugar, C</w:t>
            </w:r>
            <w:r w:rsidR="18DC0BD7" w:rsidRPr="1CEE6F0C">
              <w:rPr>
                <w:rFonts w:asciiTheme="minorHAnsi" w:hAnsiTheme="minorHAnsi" w:cstheme="minorBidi"/>
                <w:sz w:val="20"/>
                <w:szCs w:val="20"/>
              </w:rPr>
              <w:t xml:space="preserve">olombia ocupa el puesto 17 frente a la producción de oro mundial, </w:t>
            </w:r>
            <w:r w:rsidR="00584F75" w:rsidRPr="1CEE6F0C">
              <w:rPr>
                <w:rFonts w:asciiTheme="minorHAnsi" w:hAnsiTheme="minorHAnsi" w:cstheme="minorBidi"/>
                <w:sz w:val="20"/>
                <w:szCs w:val="20"/>
              </w:rPr>
              <w:t xml:space="preserve">sin embargo, </w:t>
            </w:r>
            <w:r w:rsidR="18DC0BD7" w:rsidRPr="1CEE6F0C">
              <w:rPr>
                <w:rFonts w:asciiTheme="minorHAnsi" w:hAnsiTheme="minorHAnsi" w:cstheme="minorBidi"/>
                <w:sz w:val="20"/>
                <w:szCs w:val="20"/>
              </w:rPr>
              <w:t>la participación de</w:t>
            </w:r>
            <w:r w:rsidR="000D52E8" w:rsidRPr="1CEE6F0C">
              <w:rPr>
                <w:rFonts w:asciiTheme="minorHAnsi" w:hAnsiTheme="minorHAnsi" w:cstheme="minorBidi"/>
                <w:sz w:val="20"/>
                <w:szCs w:val="20"/>
              </w:rPr>
              <w:t xml:space="preserve"> la Minería</w:t>
            </w:r>
            <w:r w:rsidR="18DC0BD7" w:rsidRPr="1CEE6F0C">
              <w:rPr>
                <w:rFonts w:asciiTheme="minorHAnsi" w:hAnsiTheme="minorHAnsi" w:cstheme="minorBidi"/>
                <w:sz w:val="20"/>
                <w:szCs w:val="20"/>
              </w:rPr>
              <w:t xml:space="preserve"> frente al</w:t>
            </w:r>
            <w:r w:rsidR="00AD521E" w:rsidRPr="1CEE6F0C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18DC0BD7" w:rsidRPr="1CEE6F0C">
              <w:rPr>
                <w:rFonts w:asciiTheme="minorHAnsi" w:hAnsiTheme="minorHAnsi" w:cstheme="minorBidi"/>
                <w:sz w:val="20"/>
                <w:szCs w:val="20"/>
              </w:rPr>
              <w:t xml:space="preserve">PIB </w:t>
            </w:r>
            <w:r w:rsidR="56F8FAF1" w:rsidRPr="1CEE6F0C">
              <w:rPr>
                <w:rFonts w:asciiTheme="minorHAnsi" w:hAnsiTheme="minorHAnsi" w:cstheme="minorBidi"/>
                <w:sz w:val="20"/>
                <w:szCs w:val="20"/>
              </w:rPr>
              <w:t>dur</w:t>
            </w:r>
            <w:r w:rsidR="56F8FAF1" w:rsidRPr="1CEE6F0C">
              <w:rPr>
                <w:rFonts w:asciiTheme="minorHAnsi" w:eastAsia="Calibri" w:hAnsiTheme="minorHAnsi" w:cstheme="minorBidi"/>
                <w:sz w:val="20"/>
                <w:szCs w:val="20"/>
              </w:rPr>
              <w:t>ante</w:t>
            </w:r>
            <w:r w:rsidR="18DC0BD7" w:rsidRPr="1CEE6F0C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el primer semestre </w:t>
            </w:r>
            <w:r w:rsidR="000D52E8" w:rsidRPr="1CEE6F0C">
              <w:rPr>
                <w:rFonts w:asciiTheme="minorHAnsi" w:eastAsia="Calibri" w:hAnsiTheme="minorHAnsi" w:cstheme="minorBidi"/>
                <w:sz w:val="20"/>
                <w:szCs w:val="20"/>
              </w:rPr>
              <w:t>del</w:t>
            </w:r>
            <w:r w:rsidR="18DC0BD7" w:rsidRPr="1CEE6F0C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2018 cayó 16</w:t>
            </w:r>
            <w:r w:rsidR="25ED814D" w:rsidRPr="1CEE6F0C">
              <w:rPr>
                <w:rFonts w:asciiTheme="minorHAnsi" w:eastAsia="Calibri" w:hAnsiTheme="minorHAnsi" w:cstheme="minorBidi"/>
                <w:sz w:val="20"/>
                <w:szCs w:val="20"/>
              </w:rPr>
              <w:t>,0</w:t>
            </w:r>
            <w:r w:rsidR="18DC0BD7" w:rsidRPr="1CEE6F0C">
              <w:rPr>
                <w:rFonts w:asciiTheme="minorHAnsi" w:eastAsia="Calibri" w:hAnsiTheme="minorHAnsi" w:cstheme="minorBidi"/>
                <w:sz w:val="20"/>
                <w:szCs w:val="20"/>
              </w:rPr>
              <w:t>%</w:t>
            </w:r>
            <w:r w:rsidR="000D52E8" w:rsidRPr="1CEE6F0C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, </w:t>
            </w:r>
            <w:r w:rsidR="18DC0BD7" w:rsidRPr="1CEE6F0C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comportamiento </w:t>
            </w:r>
            <w:r w:rsidR="00960D3B" w:rsidRPr="1CEE6F0C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explicado por </w:t>
            </w:r>
            <w:r w:rsidR="18DC0BD7" w:rsidRPr="1CEE6F0C">
              <w:rPr>
                <w:rFonts w:asciiTheme="minorHAnsi" w:eastAsia="Calibri" w:hAnsiTheme="minorHAnsi" w:cstheme="minorBidi"/>
                <w:sz w:val="20"/>
                <w:szCs w:val="20"/>
              </w:rPr>
              <w:t>la contracción</w:t>
            </w:r>
            <w:r w:rsidR="00CA5DA9" w:rsidRPr="1CEE6F0C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</w:t>
            </w:r>
            <w:r w:rsidR="001E6457" w:rsidRPr="1CEE6F0C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de </w:t>
            </w:r>
            <w:r w:rsidR="000D52E8" w:rsidRPr="1CEE6F0C">
              <w:rPr>
                <w:rFonts w:asciiTheme="minorHAnsi" w:eastAsia="Calibri" w:hAnsiTheme="minorHAnsi" w:cstheme="minorBidi"/>
                <w:sz w:val="20"/>
                <w:szCs w:val="20"/>
              </w:rPr>
              <w:t>la exportación</w:t>
            </w:r>
            <w:r w:rsidR="18DC0BD7" w:rsidRPr="1CEE6F0C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de oro, platino y hierro.</w:t>
            </w:r>
            <w:r w:rsidR="000D52E8" w:rsidRPr="1CEE6F0C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En segundo lugar, si bien el precio </w:t>
            </w:r>
            <w:r w:rsidR="00D45DF0" w:rsidRPr="1CEE6F0C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del oro </w:t>
            </w:r>
            <w:r w:rsidR="008E7F56" w:rsidRPr="1CEE6F0C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aumentó en el primer trimestre del 2018, en </w:t>
            </w:r>
            <w:r w:rsidR="003F25CA" w:rsidRPr="1CEE6F0C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segundo y tercer trimestre la tendencia fue inversa, </w:t>
            </w:r>
            <w:r w:rsidR="00DF51DC" w:rsidRPr="1CEE6F0C">
              <w:rPr>
                <w:rFonts w:asciiTheme="minorHAnsi" w:eastAsia="Calibri" w:hAnsiTheme="minorHAnsi" w:cstheme="minorBidi"/>
                <w:sz w:val="20"/>
                <w:szCs w:val="20"/>
              </w:rPr>
              <w:t>debido al</w:t>
            </w:r>
            <w:r w:rsidR="00BD4CE6" w:rsidRPr="1CEE6F0C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fortalecimiento del Dólar</w:t>
            </w:r>
            <w:r w:rsidR="004152D2" w:rsidRPr="1CEE6F0C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, </w:t>
            </w:r>
            <w:r w:rsidR="00E007AF" w:rsidRPr="1CEE6F0C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frente a este riesgo la compañía tiene una serie de </w:t>
            </w:r>
            <w:r w:rsidR="00D34481" w:rsidRPr="1CEE6F0C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figuras de </w:t>
            </w:r>
            <w:r w:rsidR="001D18DE" w:rsidRPr="1CEE6F0C">
              <w:rPr>
                <w:rFonts w:asciiTheme="minorHAnsi" w:eastAsia="Calibri" w:hAnsiTheme="minorHAnsi" w:cstheme="minorBidi"/>
                <w:sz w:val="20"/>
                <w:szCs w:val="20"/>
              </w:rPr>
              <w:t>cobertura</w:t>
            </w:r>
            <w:r w:rsidR="00D34481" w:rsidRPr="1CEE6F0C">
              <w:rPr>
                <w:rFonts w:asciiTheme="minorHAnsi" w:eastAsia="Calibri" w:hAnsiTheme="minorHAnsi" w:cstheme="minorBidi"/>
                <w:sz w:val="20"/>
                <w:szCs w:val="20"/>
              </w:rPr>
              <w:t>s</w:t>
            </w:r>
            <w:r w:rsidR="00812A2E" w:rsidRPr="1CEE6F0C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y derivados</w:t>
            </w:r>
            <w:r w:rsidR="00930D0E" w:rsidRPr="1CEE6F0C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, como </w:t>
            </w:r>
            <w:r w:rsidR="006F1347" w:rsidRPr="1CEE6F0C">
              <w:rPr>
                <w:rFonts w:asciiTheme="minorHAnsi" w:eastAsia="Calibri" w:hAnsiTheme="minorHAnsi" w:cstheme="minorBidi"/>
                <w:i/>
                <w:sz w:val="20"/>
                <w:szCs w:val="20"/>
              </w:rPr>
              <w:t>forward</w:t>
            </w:r>
            <w:r w:rsidR="006F1347" w:rsidRPr="1CEE6F0C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y </w:t>
            </w:r>
            <w:r w:rsidR="006F1347" w:rsidRPr="1CEE6F0C">
              <w:rPr>
                <w:rFonts w:asciiTheme="minorHAnsi" w:eastAsia="Calibri" w:hAnsiTheme="minorHAnsi" w:cstheme="minorBidi"/>
                <w:i/>
                <w:sz w:val="20"/>
                <w:szCs w:val="20"/>
              </w:rPr>
              <w:t>commodities</w:t>
            </w:r>
            <w:r w:rsidR="006F1347" w:rsidRPr="1CEE6F0C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, </w:t>
            </w:r>
            <w:r w:rsidR="00496E3C" w:rsidRPr="1CEE6F0C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que </w:t>
            </w:r>
            <w:r w:rsidR="000D4880" w:rsidRPr="1CEE6F0C">
              <w:rPr>
                <w:rFonts w:asciiTheme="minorHAnsi" w:eastAsia="Calibri" w:hAnsiTheme="minorHAnsi" w:cstheme="minorBidi"/>
                <w:sz w:val="20"/>
                <w:szCs w:val="20"/>
              </w:rPr>
              <w:t>busca</w:t>
            </w:r>
            <w:r w:rsidR="00496E3C" w:rsidRPr="1CEE6F0C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</w:t>
            </w:r>
            <w:r w:rsidR="006F1347" w:rsidRPr="1CEE6F0C">
              <w:rPr>
                <w:rFonts w:asciiTheme="minorHAnsi" w:eastAsia="Calibri" w:hAnsiTheme="minorHAnsi" w:cstheme="minorBidi"/>
                <w:sz w:val="20"/>
                <w:szCs w:val="20"/>
              </w:rPr>
              <w:t>cubrir riesgos financieros, principalmente el riesgo de tasa de cambio y precio de productos básicos</w:t>
            </w:r>
            <w:r w:rsidR="00496E3C" w:rsidRPr="1CEE6F0C">
              <w:rPr>
                <w:rFonts w:asciiTheme="minorHAnsi" w:eastAsia="Calibri" w:hAnsiTheme="minorHAnsi" w:cstheme="minorBidi"/>
                <w:sz w:val="20"/>
                <w:szCs w:val="20"/>
              </w:rPr>
              <w:t>. Finalmente</w:t>
            </w:r>
            <w:r w:rsidR="00CA474C" w:rsidRPr="1CEE6F0C">
              <w:rPr>
                <w:rFonts w:asciiTheme="minorHAnsi" w:eastAsia="Calibri" w:hAnsiTheme="minorHAnsi" w:cstheme="minorBidi"/>
                <w:sz w:val="20"/>
                <w:szCs w:val="20"/>
              </w:rPr>
              <w:t>, en cuanto a la normatividad del sector</w:t>
            </w:r>
            <w:r w:rsidR="00292DE5" w:rsidRPr="1CEE6F0C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</w:t>
            </w:r>
            <w:r w:rsidR="00292DE5" w:rsidRPr="1CEE6F0C">
              <w:rPr>
                <w:rFonts w:asciiTheme="minorHAnsi" w:hAnsiTheme="minorHAnsi" w:cstheme="minorBidi"/>
                <w:sz w:val="20"/>
                <w:szCs w:val="20"/>
              </w:rPr>
              <w:t xml:space="preserve">a partir </w:t>
            </w:r>
            <w:r w:rsidR="18B5A4B2" w:rsidRPr="1CEE6F0C">
              <w:rPr>
                <w:rFonts w:asciiTheme="minorHAnsi" w:hAnsiTheme="minorHAnsi" w:cstheme="minorBidi"/>
                <w:sz w:val="20"/>
                <w:szCs w:val="20"/>
              </w:rPr>
              <w:t>de</w:t>
            </w:r>
            <w:r w:rsidR="00292DE5" w:rsidRPr="1CEE6F0C">
              <w:rPr>
                <w:rFonts w:asciiTheme="minorHAnsi" w:hAnsiTheme="minorHAnsi" w:cstheme="minorBidi"/>
                <w:sz w:val="20"/>
                <w:szCs w:val="20"/>
              </w:rPr>
              <w:t xml:space="preserve"> 16 de julio de 2018, com</w:t>
            </w:r>
            <w:r w:rsidR="00584F75" w:rsidRPr="1CEE6F0C">
              <w:rPr>
                <w:rFonts w:asciiTheme="minorHAnsi" w:hAnsiTheme="minorHAnsi" w:cstheme="minorBidi"/>
                <w:sz w:val="20"/>
                <w:szCs w:val="20"/>
              </w:rPr>
              <w:t>enzó</w:t>
            </w:r>
            <w:r w:rsidR="00292DE5" w:rsidRPr="1CEE6F0C">
              <w:rPr>
                <w:rFonts w:asciiTheme="minorHAnsi" w:hAnsiTheme="minorHAnsi" w:cstheme="minorBidi"/>
                <w:sz w:val="20"/>
                <w:szCs w:val="20"/>
              </w:rPr>
              <w:t xml:space="preserve"> a regir la Ley 1658 de 2013, </w:t>
            </w:r>
            <w:r w:rsidR="00891BA1" w:rsidRPr="1CEE6F0C">
              <w:rPr>
                <w:rFonts w:asciiTheme="minorHAnsi" w:hAnsiTheme="minorHAnsi" w:cstheme="minorBidi"/>
                <w:sz w:val="20"/>
                <w:szCs w:val="20"/>
              </w:rPr>
              <w:t xml:space="preserve">que penaliza </w:t>
            </w:r>
            <w:r w:rsidR="00292DE5" w:rsidRPr="1CEE6F0C">
              <w:rPr>
                <w:rFonts w:asciiTheme="minorHAnsi" w:hAnsiTheme="minorHAnsi" w:cstheme="minorBidi"/>
                <w:sz w:val="20"/>
                <w:szCs w:val="20"/>
              </w:rPr>
              <w:t>el uso de mercurio en las diferentes actividades industriale</w:t>
            </w:r>
            <w:r w:rsidR="00891BA1" w:rsidRPr="1CEE6F0C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="00010BFB" w:rsidRPr="1CEE6F0C">
              <w:rPr>
                <w:rFonts w:asciiTheme="minorHAnsi" w:hAnsiTheme="minorHAnsi" w:cstheme="minorBidi"/>
                <w:sz w:val="20"/>
                <w:szCs w:val="20"/>
              </w:rPr>
              <w:t xml:space="preserve">, </w:t>
            </w:r>
            <w:r w:rsidR="00D61E60" w:rsidRPr="1CEE6F0C">
              <w:rPr>
                <w:rFonts w:asciiTheme="minorHAnsi" w:hAnsiTheme="minorHAnsi" w:cstheme="minorBidi"/>
                <w:sz w:val="20"/>
                <w:szCs w:val="20"/>
              </w:rPr>
              <w:t>frente a esto</w:t>
            </w:r>
            <w:r w:rsidR="009C3961" w:rsidRPr="1CEE6F0C">
              <w:rPr>
                <w:rFonts w:asciiTheme="minorHAnsi" w:hAnsiTheme="minorHAnsi" w:cstheme="minorBidi"/>
                <w:sz w:val="20"/>
                <w:szCs w:val="20"/>
              </w:rPr>
              <w:t>,</w:t>
            </w:r>
            <w:r w:rsidR="00D61E60" w:rsidRPr="1CEE6F0C">
              <w:rPr>
                <w:rFonts w:asciiTheme="minorHAnsi" w:hAnsiTheme="minorHAnsi" w:cstheme="minorBidi"/>
                <w:sz w:val="20"/>
                <w:szCs w:val="20"/>
              </w:rPr>
              <w:t xml:space="preserve"> desde 201</w:t>
            </w:r>
            <w:r w:rsidR="00891BA1" w:rsidRPr="1CEE6F0C">
              <w:rPr>
                <w:rFonts w:asciiTheme="minorHAnsi" w:hAnsiTheme="minorHAnsi" w:cstheme="minorBidi"/>
                <w:sz w:val="20"/>
                <w:szCs w:val="20"/>
              </w:rPr>
              <w:t xml:space="preserve">4 la compañía </w:t>
            </w:r>
            <w:r w:rsidR="00D563F6" w:rsidRPr="1CEE6F0C">
              <w:rPr>
                <w:rFonts w:asciiTheme="minorHAnsi" w:hAnsiTheme="minorHAnsi" w:cstheme="minorBidi"/>
                <w:sz w:val="20"/>
                <w:szCs w:val="20"/>
              </w:rPr>
              <w:t>presenta</w:t>
            </w:r>
            <w:r w:rsidR="00EE2244" w:rsidRPr="1CEE6F0C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procesos de beneficio mineral, con el fin de</w:t>
            </w:r>
            <w:r w:rsidR="00EA3834" w:rsidRPr="1CEE6F0C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</w:t>
            </w:r>
            <w:r w:rsidR="00EE2244" w:rsidRPr="1CEE6F0C">
              <w:rPr>
                <w:rFonts w:asciiTheme="minorHAnsi" w:eastAsia="Calibri" w:hAnsiTheme="minorHAnsi" w:cstheme="minorBidi"/>
                <w:sz w:val="20"/>
                <w:szCs w:val="20"/>
              </w:rPr>
              <w:t>evitar el uso de mercurio</w:t>
            </w:r>
            <w:r w:rsidR="00DE12E8" w:rsidRPr="1CEE6F0C">
              <w:rPr>
                <w:rFonts w:asciiTheme="minorHAnsi" w:eastAsia="Calibri" w:hAnsiTheme="minorHAnsi" w:cstheme="minorBidi"/>
                <w:sz w:val="20"/>
                <w:szCs w:val="20"/>
              </w:rPr>
              <w:t>, asimismo</w:t>
            </w:r>
            <w:r w:rsidR="00415C1F" w:rsidRPr="1CEE6F0C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, frente a la </w:t>
            </w:r>
            <w:r w:rsidR="05C961AB" w:rsidRPr="1CEE6F0C">
              <w:rPr>
                <w:rFonts w:asciiTheme="minorHAnsi" w:eastAsia="Calibri" w:hAnsiTheme="minorHAnsi" w:cstheme="minorBidi"/>
                <w:sz w:val="20"/>
                <w:szCs w:val="20"/>
              </w:rPr>
              <w:t>minería</w:t>
            </w:r>
            <w:r w:rsidR="00415C1F" w:rsidRPr="1CEE6F0C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ilegal, la compañía </w:t>
            </w:r>
            <w:r w:rsidR="00767373" w:rsidRPr="1CEE6F0C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participa en el programa </w:t>
            </w:r>
            <w:r w:rsidR="00DE12E8" w:rsidRPr="1CEE6F0C">
              <w:rPr>
                <w:rFonts w:asciiTheme="minorHAnsi" w:eastAsia="Calibri" w:hAnsiTheme="minorHAnsi" w:cstheme="minorBidi"/>
                <w:sz w:val="20"/>
                <w:szCs w:val="20"/>
              </w:rPr>
              <w:t>“Oro legal” USAID,</w:t>
            </w:r>
            <w:r w:rsidR="00DF51DC" w:rsidRPr="1CEE6F0C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</w:t>
            </w:r>
            <w:r w:rsidR="00EA3834" w:rsidRPr="1CEE6F0C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pues esto </w:t>
            </w:r>
            <w:r w:rsidR="00EA3834" w:rsidRPr="1CEE6F0C">
              <w:rPr>
                <w:rFonts w:asciiTheme="minorHAnsi" w:hAnsiTheme="minorHAnsi" w:cstheme="minorBidi"/>
                <w:sz w:val="20"/>
                <w:szCs w:val="20"/>
              </w:rPr>
              <w:t>afecta la imagen internacional del sector ocasionando una mayor percepción de riesgo.</w:t>
            </w:r>
          </w:p>
        </w:tc>
      </w:tr>
      <w:tr w:rsidR="00200610" w:rsidRPr="00200610" w14:paraId="0E4B82CE" w14:textId="77777777" w:rsidTr="00735297">
        <w:trPr>
          <w:trHeight w:val="323"/>
        </w:trPr>
        <w:tc>
          <w:tcPr>
            <w:tcW w:w="11383" w:type="dxa"/>
            <w:gridSpan w:val="7"/>
          </w:tcPr>
          <w:p w14:paraId="3E2AE2CC" w14:textId="3E95878D" w:rsidR="00200610" w:rsidRPr="00200610" w:rsidRDefault="00200610" w:rsidP="00931ED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708DD1B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Análisis </w:t>
            </w:r>
            <w:r w:rsidR="00A66D52" w:rsidRPr="0708DD1B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de I</w:t>
            </w:r>
            <w:r w:rsidRPr="0708DD1B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ndustria </w:t>
            </w:r>
            <w:r w:rsidR="003C405D" w:rsidRPr="0708DD1B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y Factores Clave de Éxito </w:t>
            </w:r>
            <w:r w:rsidRPr="76F8E03C">
              <w:rPr>
                <w:rFonts w:asciiTheme="minorHAnsi" w:hAnsiTheme="minorHAnsi" w:cs="Arial"/>
                <w:smallCaps/>
                <w:sz w:val="22"/>
                <w:szCs w:val="22"/>
              </w:rPr>
              <w:t>(</w:t>
            </w:r>
            <w:r w:rsidRPr="76F8E03C">
              <w:rPr>
                <w:rFonts w:asciiTheme="minorHAnsi" w:hAnsiTheme="minorHAnsi" w:cs="Arial"/>
                <w:sz w:val="22"/>
                <w:szCs w:val="22"/>
              </w:rPr>
              <w:t xml:space="preserve">Máximo </w:t>
            </w:r>
            <w:r w:rsidR="00931ED6" w:rsidRPr="76F8E03C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Pr="76F8E03C">
              <w:rPr>
                <w:rFonts w:asciiTheme="minorHAnsi" w:hAnsiTheme="minorHAnsi" w:cs="Arial"/>
                <w:sz w:val="22"/>
                <w:szCs w:val="22"/>
              </w:rPr>
              <w:t>00 palabras</w:t>
            </w:r>
            <w:r w:rsidRPr="76F8E03C">
              <w:rPr>
                <w:rFonts w:asciiTheme="minorHAnsi" w:hAnsiTheme="minorHAnsi" w:cs="Arial"/>
                <w:smallCaps/>
                <w:sz w:val="22"/>
                <w:szCs w:val="22"/>
              </w:rPr>
              <w:t>)</w:t>
            </w:r>
            <w:r w:rsidR="008C7A5A" w:rsidRPr="76F8E03C">
              <w:rPr>
                <w:rFonts w:asciiTheme="minorHAnsi" w:hAnsiTheme="minorHAnsi" w:cs="Arial"/>
                <w:smallCaps/>
                <w:sz w:val="22"/>
                <w:szCs w:val="22"/>
              </w:rPr>
              <w:t xml:space="preserve"> 5 puntos contenido</w:t>
            </w:r>
          </w:p>
        </w:tc>
      </w:tr>
      <w:tr w:rsidR="00200610" w:rsidRPr="00427754" w14:paraId="185E3098" w14:textId="77777777" w:rsidTr="00735297">
        <w:trPr>
          <w:trHeight w:val="4643"/>
        </w:trPr>
        <w:tc>
          <w:tcPr>
            <w:tcW w:w="11383" w:type="dxa"/>
            <w:gridSpan w:val="7"/>
          </w:tcPr>
          <w:p w14:paraId="6551DC76" w14:textId="48AAAC3B" w:rsidR="004F15DE" w:rsidRDefault="008547E0" w:rsidP="004F15DE">
            <w:pPr>
              <w:jc w:val="both"/>
              <w:rPr>
                <w:rFonts w:asciiTheme="minorHAnsi" w:hAnsiTheme="minorHAnsi" w:cstheme="minorBidi"/>
                <w:sz w:val="20"/>
                <w:szCs w:val="22"/>
              </w:rPr>
            </w:pPr>
            <w:r w:rsidRPr="0042775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0D84592F" wp14:editId="49F70B8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75565</wp:posOffset>
                  </wp:positionV>
                  <wp:extent cx="2708910" cy="1369695"/>
                  <wp:effectExtent l="0" t="0" r="0" b="0"/>
                  <wp:wrapSquare wrapText="bothSides"/>
                  <wp:docPr id="8" name="Picture 8" descr="&#10;&#10;&#10;&#10;&#10;&#10;&#10;&#10;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910" cy="136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2B86" w:rsidRPr="00362B86">
              <w:rPr>
                <w:rFonts w:asciiTheme="minorHAnsi" w:hAnsiTheme="minorHAnsi" w:cstheme="minorBidi"/>
                <w:sz w:val="22"/>
                <w:szCs w:val="22"/>
              </w:rPr>
              <w:t>Re</w:t>
            </w:r>
            <w:r w:rsidR="00362B86" w:rsidRPr="00362B86">
              <w:rPr>
                <w:rFonts w:asciiTheme="minorHAnsi" w:hAnsiTheme="minorHAnsi" w:cstheme="minorBidi"/>
                <w:sz w:val="20"/>
                <w:szCs w:val="22"/>
              </w:rPr>
              <w:t>specto al análisis de Porter, la fuerza de amenaza de nuevos competidores es muy alta, con un puntaje de 5, teniendo en cuenta que</w:t>
            </w:r>
            <w:r w:rsidR="0066750A">
              <w:rPr>
                <w:rFonts w:asciiTheme="minorHAnsi" w:hAnsiTheme="minorHAnsi" w:cstheme="minorBidi"/>
                <w:sz w:val="20"/>
                <w:szCs w:val="22"/>
              </w:rPr>
              <w:t xml:space="preserve"> </w:t>
            </w:r>
            <w:r w:rsidR="00362B86" w:rsidRPr="00362B86">
              <w:rPr>
                <w:rFonts w:asciiTheme="minorHAnsi" w:hAnsiTheme="minorHAnsi" w:cstheme="minorBidi"/>
                <w:sz w:val="20"/>
                <w:szCs w:val="22"/>
              </w:rPr>
              <w:t xml:space="preserve">para incursionar en la industria minera formalmente se requiere </w:t>
            </w:r>
            <w:r w:rsidR="00320458">
              <w:rPr>
                <w:rFonts w:asciiTheme="minorHAnsi" w:hAnsiTheme="minorHAnsi" w:cstheme="minorBidi"/>
                <w:sz w:val="20"/>
                <w:szCs w:val="22"/>
              </w:rPr>
              <w:t>en primer lugar</w:t>
            </w:r>
            <w:r w:rsidR="002B5F70">
              <w:rPr>
                <w:rFonts w:asciiTheme="minorHAnsi" w:hAnsiTheme="minorHAnsi" w:cstheme="minorBidi"/>
                <w:sz w:val="20"/>
                <w:szCs w:val="22"/>
              </w:rPr>
              <w:t>,</w:t>
            </w:r>
            <w:r w:rsidR="00EF7C4D">
              <w:rPr>
                <w:rFonts w:asciiTheme="minorHAnsi" w:hAnsiTheme="minorHAnsi" w:cstheme="minorBidi"/>
                <w:sz w:val="20"/>
                <w:szCs w:val="22"/>
              </w:rPr>
              <w:t xml:space="preserve"> un amplio </w:t>
            </w:r>
            <w:r w:rsidR="00362B86" w:rsidRPr="00362B86">
              <w:rPr>
                <w:rFonts w:asciiTheme="minorHAnsi" w:hAnsiTheme="minorHAnsi" w:cstheme="minorBidi"/>
                <w:sz w:val="20"/>
                <w:szCs w:val="22"/>
              </w:rPr>
              <w:t xml:space="preserve">capital para consolidarse en el mercado </w:t>
            </w:r>
            <w:bookmarkStart w:id="0" w:name="_GoBack"/>
            <w:bookmarkEnd w:id="0"/>
            <w:r w:rsidR="008A29B9" w:rsidRPr="00362B86">
              <w:rPr>
                <w:rFonts w:asciiTheme="minorHAnsi" w:hAnsiTheme="minorHAnsi" w:cstheme="minorBidi"/>
                <w:sz w:val="20"/>
                <w:szCs w:val="22"/>
              </w:rPr>
              <w:t>y,</w:t>
            </w:r>
            <w:r w:rsidR="00362B86" w:rsidRPr="00362B86">
              <w:rPr>
                <w:rFonts w:asciiTheme="minorHAnsi" w:hAnsiTheme="minorHAnsi" w:cstheme="minorBidi"/>
                <w:sz w:val="20"/>
                <w:szCs w:val="22"/>
              </w:rPr>
              <w:t xml:space="preserve"> </w:t>
            </w:r>
            <w:r w:rsidR="00C80E83">
              <w:rPr>
                <w:rFonts w:asciiTheme="minorHAnsi" w:hAnsiTheme="minorHAnsi" w:cstheme="minorBidi"/>
                <w:sz w:val="20"/>
                <w:szCs w:val="22"/>
              </w:rPr>
              <w:t>en segundo lugar,</w:t>
            </w:r>
            <w:r w:rsidR="00362B86" w:rsidRPr="00362B86">
              <w:rPr>
                <w:rFonts w:asciiTheme="minorHAnsi" w:hAnsiTheme="minorHAnsi" w:cstheme="minorBidi"/>
                <w:sz w:val="20"/>
                <w:szCs w:val="22"/>
              </w:rPr>
              <w:t xml:space="preserve"> licencias especiales por parte del Estado, un factor importante que a</w:t>
            </w:r>
            <w:r w:rsidR="00C80E83">
              <w:rPr>
                <w:rFonts w:asciiTheme="minorHAnsi" w:hAnsiTheme="minorHAnsi" w:cstheme="minorBidi"/>
                <w:sz w:val="20"/>
                <w:szCs w:val="22"/>
              </w:rPr>
              <w:t>fecta</w:t>
            </w:r>
            <w:r w:rsidR="00362B86" w:rsidRPr="00362B86">
              <w:rPr>
                <w:rFonts w:asciiTheme="minorHAnsi" w:hAnsiTheme="minorHAnsi" w:cstheme="minorBidi"/>
                <w:sz w:val="20"/>
                <w:szCs w:val="22"/>
              </w:rPr>
              <w:t xml:space="preserve"> esta industria es la minería informal, la cual, al no contar con ningún tipo de regulación, obstaculiza la minería formal. </w:t>
            </w:r>
          </w:p>
          <w:p w14:paraId="58A31601" w14:textId="6479A3DE" w:rsidR="003001BC" w:rsidRDefault="003001BC" w:rsidP="004F15DE">
            <w:pPr>
              <w:jc w:val="both"/>
              <w:rPr>
                <w:rFonts w:asciiTheme="minorHAnsi" w:hAnsiTheme="minorHAnsi" w:cstheme="minorBidi"/>
                <w:sz w:val="20"/>
                <w:szCs w:val="22"/>
              </w:rPr>
            </w:pPr>
            <w:r w:rsidRPr="00362B86">
              <w:rPr>
                <w:noProof/>
                <w:sz w:val="22"/>
                <w:lang w:val="en-US"/>
              </w:rPr>
              <w:drawing>
                <wp:anchor distT="0" distB="0" distL="114300" distR="114300" simplePos="0" relativeHeight="251658241" behindDoc="0" locked="0" layoutInCell="1" allowOverlap="1" wp14:anchorId="199860E1" wp14:editId="61E58694">
                  <wp:simplePos x="0" y="0"/>
                  <wp:positionH relativeFrom="column">
                    <wp:posOffset>4255847</wp:posOffset>
                  </wp:positionH>
                  <wp:positionV relativeFrom="paragraph">
                    <wp:posOffset>149064</wp:posOffset>
                  </wp:positionV>
                  <wp:extent cx="2824720" cy="1513962"/>
                  <wp:effectExtent l="0" t="0" r="0" b="0"/>
                  <wp:wrapSquare wrapText="bothSides"/>
                  <wp:docPr id="29390476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4720" cy="1513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762FC1" w14:textId="6E768A28" w:rsidR="003001BC" w:rsidRDefault="003001BC" w:rsidP="009710AE">
            <w:pPr>
              <w:jc w:val="both"/>
              <w:rPr>
                <w:rFonts w:asciiTheme="minorHAnsi" w:hAnsiTheme="minorHAnsi" w:cstheme="minorBidi"/>
                <w:sz w:val="20"/>
                <w:szCs w:val="22"/>
              </w:rPr>
            </w:pPr>
          </w:p>
          <w:p w14:paraId="5F1088D5" w14:textId="27ABB4FC" w:rsidR="00D671E8" w:rsidRPr="004F15DE" w:rsidRDefault="004F15DE" w:rsidP="009710AE">
            <w:pPr>
              <w:jc w:val="both"/>
              <w:rPr>
                <w:rFonts w:asciiTheme="minorHAnsi" w:hAnsiTheme="minorHAnsi" w:cstheme="minorBidi"/>
                <w:sz w:val="20"/>
                <w:szCs w:val="22"/>
              </w:rPr>
            </w:pPr>
            <w:r w:rsidRPr="0042775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8242" behindDoc="1" locked="0" layoutInCell="1" allowOverlap="1" wp14:anchorId="482C681E" wp14:editId="405CCA54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127000</wp:posOffset>
                      </wp:positionV>
                      <wp:extent cx="2862580" cy="1404620"/>
                      <wp:effectExtent l="0" t="0" r="0" b="0"/>
                      <wp:wrapTight wrapText="bothSides">
                        <wp:wrapPolygon edited="0">
                          <wp:start x="431" y="0"/>
                          <wp:lineTo x="431" y="19343"/>
                          <wp:lineTo x="21130" y="19343"/>
                          <wp:lineTo x="21130" y="0"/>
                          <wp:lineTo x="431" y="0"/>
                        </wp:wrapPolygon>
                      </wp:wrapTight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258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266F5C" w14:textId="563DC983" w:rsidR="003001BC" w:rsidRPr="003001BC" w:rsidRDefault="00171A38" w:rsidP="00171A38">
                                  <w:pPr>
                                    <w:rPr>
                                      <w:rFonts w:asciiTheme="minorHAnsi" w:hAnsiTheme="minorHAnsi" w:cs="Arial"/>
                                      <w:color w:val="000000"/>
                                      <w:sz w:val="20"/>
                                    </w:rPr>
                                  </w:pPr>
                                  <w:r w:rsidRPr="00171A38">
                                    <w:rPr>
                                      <w:rFonts w:asciiTheme="minorHAnsi" w:hAnsiTheme="minorHAnsi" w:cs="Arial"/>
                                      <w:b/>
                                      <w:color w:val="000000"/>
                                      <w:sz w:val="20"/>
                                    </w:rPr>
                                    <w:t>Fuente</w:t>
                                  </w:r>
                                  <w:r w:rsidRPr="00171A38">
                                    <w:rPr>
                                      <w:rFonts w:asciiTheme="minorHAnsi" w:hAnsiTheme="minorHAnsi" w:cs="Arial"/>
                                      <w:color w:val="000000"/>
                                      <w:sz w:val="20"/>
                                    </w:rPr>
                                    <w:t xml:space="preserve">: </w:t>
                                  </w:r>
                                  <w:r w:rsidR="009F14E6">
                                    <w:rPr>
                                      <w:rFonts w:asciiTheme="minorHAnsi" w:hAnsiTheme="minorHAnsi" w:cs="Arial"/>
                                      <w:color w:val="000000"/>
                                      <w:sz w:val="20"/>
                                    </w:rPr>
                                    <w:t xml:space="preserve">Cifras de EMIS, </w:t>
                                  </w:r>
                                  <w:r w:rsidRPr="00171A38">
                                    <w:rPr>
                                      <w:rFonts w:asciiTheme="minorHAnsi" w:hAnsiTheme="minorHAnsi" w:cs="Arial"/>
                                      <w:color w:val="000000"/>
                                      <w:sz w:val="20"/>
                                    </w:rPr>
                                    <w:t>elaboración propia</w:t>
                                  </w:r>
                                  <w:r w:rsidR="009F14E6">
                                    <w:rPr>
                                      <w:rFonts w:asciiTheme="minorHAnsi" w:hAnsiTheme="minorHAnsi" w:cs="Arial"/>
                                      <w:color w:val="000000"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82C68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.85pt;margin-top:10pt;width:225.4pt;height:110.6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" filled="f" stroked="f">
                      <v:textbox style="mso-fit-shape-to-text:t">
                        <w:txbxContent>
                          <w:p w14:paraId="71266F5C" w14:textId="563DC983" w:rsidR="003001BC" w:rsidRPr="003001BC" w:rsidRDefault="00171A38" w:rsidP="00171A38">
                            <w:pPr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</w:rPr>
                            </w:pPr>
                            <w:r w:rsidRPr="00171A38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20"/>
                              </w:rPr>
                              <w:t>Fuente</w:t>
                            </w:r>
                            <w:r w:rsidRPr="00171A38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</w:rPr>
                              <w:t xml:space="preserve">: </w:t>
                            </w:r>
                            <w:r w:rsidR="009F14E6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</w:rPr>
                              <w:t xml:space="preserve">Cifras de EMIS, </w:t>
                            </w:r>
                            <w:r w:rsidRPr="00171A38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</w:rPr>
                              <w:t>elaboración propia</w:t>
                            </w:r>
                            <w:r w:rsidR="009F14E6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362B86">
              <w:rPr>
                <w:rFonts w:asciiTheme="minorHAnsi" w:hAnsiTheme="minorHAnsi" w:cstheme="minorHAnsi"/>
                <w:noProof/>
                <w:color w:val="000000"/>
                <w:sz w:val="18"/>
                <w:szCs w:val="20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8244" behindDoc="1" locked="0" layoutInCell="1" allowOverlap="1" wp14:anchorId="59B08BD2" wp14:editId="0CF577EE">
                      <wp:simplePos x="0" y="0"/>
                      <wp:positionH relativeFrom="column">
                        <wp:posOffset>4288025</wp:posOffset>
                      </wp:positionH>
                      <wp:positionV relativeFrom="paragraph">
                        <wp:posOffset>1379445</wp:posOffset>
                      </wp:positionV>
                      <wp:extent cx="2654935" cy="1404620"/>
                      <wp:effectExtent l="0" t="0" r="0" b="0"/>
                      <wp:wrapTight wrapText="bothSides">
                        <wp:wrapPolygon edited="0">
                          <wp:start x="465" y="0"/>
                          <wp:lineTo x="465" y="19343"/>
                          <wp:lineTo x="21078" y="19343"/>
                          <wp:lineTo x="21078" y="0"/>
                          <wp:lineTo x="465" y="0"/>
                        </wp:wrapPolygon>
                      </wp:wrapTight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93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3F9F54" w14:textId="77777777" w:rsidR="008D3FAD" w:rsidRPr="00181D49" w:rsidRDefault="008D3FAD" w:rsidP="008D3FAD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71A38">
                                    <w:rPr>
                                      <w:rFonts w:asciiTheme="minorHAnsi" w:hAnsiTheme="minorHAnsi" w:cs="Arial"/>
                                      <w:b/>
                                      <w:color w:val="000000"/>
                                      <w:sz w:val="20"/>
                                    </w:rPr>
                                    <w:t>Fuente</w:t>
                                  </w:r>
                                  <w:r w:rsidRPr="00171A38">
                                    <w:rPr>
                                      <w:rFonts w:asciiTheme="minorHAnsi" w:hAnsiTheme="minorHAnsi" w:cs="Arial"/>
                                      <w:color w:val="000000"/>
                                      <w:sz w:val="2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color w:val="000000"/>
                                      <w:sz w:val="20"/>
                                    </w:rPr>
                                    <w:t xml:space="preserve">Cifras de EMIS, </w:t>
                                  </w:r>
                                  <w:r w:rsidRPr="00171A38">
                                    <w:rPr>
                                      <w:rFonts w:asciiTheme="minorHAnsi" w:hAnsiTheme="minorHAnsi" w:cs="Arial"/>
                                      <w:color w:val="000000"/>
                                      <w:sz w:val="20"/>
                                    </w:rPr>
                                    <w:t>elaboración propia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color w:val="000000"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9B08BD2" id="_x0000_s1027" type="#_x0000_t202" style="position:absolute;left:0;text-align:left;margin-left:337.65pt;margin-top:108.6pt;width:209.05pt;height:110.6pt;z-index:-2516582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" filled="f" stroked="f">
                      <v:textbox style="mso-fit-shape-to-text:t">
                        <w:txbxContent>
                          <w:p w14:paraId="3B3F9F54" w14:textId="77777777" w:rsidR="008D3FAD" w:rsidRPr="00181D49" w:rsidRDefault="008D3FAD" w:rsidP="008D3FAD">
                            <w:pPr>
                              <w:rPr>
                                <w:sz w:val="22"/>
                              </w:rPr>
                            </w:pPr>
                            <w:r w:rsidRPr="00171A38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20"/>
                              </w:rPr>
                              <w:t>Fuente</w:t>
                            </w:r>
                            <w:r w:rsidRPr="00171A38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</w:rPr>
                              <w:t xml:space="preserve">Cifras de EMIS, </w:t>
                            </w:r>
                            <w:r w:rsidRPr="00171A38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</w:rPr>
                              <w:t>elaboración propia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362B86" w:rsidRPr="00362B86">
              <w:rPr>
                <w:rFonts w:asciiTheme="minorHAnsi" w:hAnsiTheme="minorHAnsi" w:cstheme="minorBidi"/>
                <w:sz w:val="20"/>
                <w:szCs w:val="22"/>
              </w:rPr>
              <w:t>Por otro lado, la fuerza de rivalidad entre competidores es alta, tiene un puntaje de 4 (gráfica 2), debido a que, no obstante, la compañía tiene una cuota de 4</w:t>
            </w:r>
            <w:r w:rsidR="00065A72">
              <w:rPr>
                <w:rFonts w:asciiTheme="minorHAnsi" w:hAnsiTheme="minorHAnsi" w:cstheme="minorBidi"/>
                <w:sz w:val="20"/>
                <w:szCs w:val="22"/>
              </w:rPr>
              <w:t>2</w:t>
            </w:r>
            <w:r w:rsidR="00362B86" w:rsidRPr="00362B86">
              <w:rPr>
                <w:rFonts w:asciiTheme="minorHAnsi" w:hAnsiTheme="minorHAnsi" w:cstheme="minorBidi"/>
                <w:sz w:val="20"/>
                <w:szCs w:val="22"/>
              </w:rPr>
              <w:t>,</w:t>
            </w:r>
            <w:r w:rsidR="00065A72">
              <w:rPr>
                <w:rFonts w:asciiTheme="minorHAnsi" w:hAnsiTheme="minorHAnsi" w:cstheme="minorBidi"/>
                <w:sz w:val="20"/>
                <w:szCs w:val="22"/>
              </w:rPr>
              <w:t>9</w:t>
            </w:r>
            <w:r w:rsidR="00362B86" w:rsidRPr="00362B86">
              <w:rPr>
                <w:rFonts w:asciiTheme="minorHAnsi" w:hAnsiTheme="minorHAnsi" w:cstheme="minorBidi"/>
                <w:sz w:val="20"/>
                <w:szCs w:val="22"/>
              </w:rPr>
              <w:t>% del mercado colombiano, este está compuesto por 132 compañías, además, la compañía Gran Colombia Gold Segovia, cuenta con el 3</w:t>
            </w:r>
            <w:r w:rsidR="00065A72">
              <w:rPr>
                <w:rFonts w:asciiTheme="minorHAnsi" w:hAnsiTheme="minorHAnsi" w:cstheme="minorBidi"/>
                <w:sz w:val="20"/>
                <w:szCs w:val="22"/>
              </w:rPr>
              <w:t>7</w:t>
            </w:r>
            <w:r w:rsidR="00362B86" w:rsidRPr="00362B86">
              <w:rPr>
                <w:rFonts w:asciiTheme="minorHAnsi" w:hAnsiTheme="minorHAnsi" w:cstheme="minorBidi"/>
                <w:sz w:val="20"/>
                <w:szCs w:val="22"/>
              </w:rPr>
              <w:t>,</w:t>
            </w:r>
            <w:r w:rsidR="00065A72">
              <w:rPr>
                <w:rFonts w:asciiTheme="minorHAnsi" w:hAnsiTheme="minorHAnsi" w:cstheme="minorBidi"/>
                <w:sz w:val="20"/>
                <w:szCs w:val="22"/>
              </w:rPr>
              <w:t>7</w:t>
            </w:r>
            <w:r w:rsidR="00362B86" w:rsidRPr="00362B86">
              <w:rPr>
                <w:rFonts w:asciiTheme="minorHAnsi" w:hAnsiTheme="minorHAnsi" w:cstheme="minorBidi"/>
                <w:sz w:val="20"/>
                <w:szCs w:val="22"/>
              </w:rPr>
              <w:t>% del mercado, reflejado en la gráfica 1, significando que además de Mineros hay otras empresas fuertes de minería en el país.</w:t>
            </w:r>
            <w:r>
              <w:rPr>
                <w:rFonts w:asciiTheme="minorHAnsi" w:hAnsiTheme="minorHAnsi" w:cstheme="minorBidi"/>
                <w:sz w:val="20"/>
                <w:szCs w:val="22"/>
              </w:rPr>
              <w:t xml:space="preserve"> </w:t>
            </w:r>
            <w:r w:rsidR="00362B86" w:rsidRPr="00362B86">
              <w:rPr>
                <w:rFonts w:asciiTheme="minorHAnsi" w:hAnsiTheme="minorHAnsi" w:cstheme="minorBidi"/>
                <w:sz w:val="20"/>
                <w:szCs w:val="22"/>
              </w:rPr>
              <w:t xml:space="preserve">En razón a la participación de las ventas de la compañía frente a las ventas nacionales de minería, a pesar de haber disminuido, pasó de 50,0% a 42,9% para el 2018, estas continúan teniendo un alto nivel frente a la industria. </w:t>
            </w:r>
            <w:r w:rsidR="00933E66" w:rsidRPr="00362B86">
              <w:rPr>
                <w:rFonts w:asciiTheme="minorHAnsi" w:hAnsiTheme="minorHAnsi" w:cstheme="minorBidi"/>
                <w:sz w:val="20"/>
                <w:szCs w:val="22"/>
              </w:rPr>
              <w:t xml:space="preserve"> </w:t>
            </w:r>
          </w:p>
        </w:tc>
      </w:tr>
      <w:tr w:rsidR="00C027A8" w:rsidRPr="00200610" w14:paraId="4BC29E0A" w14:textId="77777777" w:rsidTr="00735297">
        <w:trPr>
          <w:trHeight w:val="323"/>
        </w:trPr>
        <w:tc>
          <w:tcPr>
            <w:tcW w:w="11383" w:type="dxa"/>
            <w:gridSpan w:val="7"/>
          </w:tcPr>
          <w:p w14:paraId="253A61B2" w14:textId="2E49D327" w:rsidR="00C027A8" w:rsidRPr="00200610" w:rsidRDefault="00C027A8" w:rsidP="0042775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708DD1B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Análisis de</w:t>
            </w:r>
            <w:r w:rsidR="00427754" w:rsidRPr="0708DD1B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l Gobierno Corporativo</w:t>
            </w:r>
            <w:r w:rsidRPr="0708DD1B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 </w:t>
            </w:r>
            <w:r w:rsidRPr="0708DD1B">
              <w:rPr>
                <w:rFonts w:asciiTheme="minorHAnsi" w:hAnsiTheme="minorHAnsi" w:cs="Arial"/>
                <w:smallCaps/>
                <w:sz w:val="22"/>
                <w:szCs w:val="22"/>
              </w:rPr>
              <w:t>(</w:t>
            </w:r>
            <w:r w:rsidRPr="0708DD1B">
              <w:rPr>
                <w:rFonts w:asciiTheme="minorHAnsi" w:hAnsiTheme="minorHAnsi" w:cs="Arial"/>
                <w:sz w:val="22"/>
                <w:szCs w:val="22"/>
              </w:rPr>
              <w:t xml:space="preserve">Máximo </w:t>
            </w:r>
            <w:r w:rsidR="00427754" w:rsidRPr="0708DD1B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Pr="0708DD1B">
              <w:rPr>
                <w:rFonts w:asciiTheme="minorHAnsi" w:hAnsiTheme="minorHAnsi" w:cs="Arial"/>
                <w:sz w:val="22"/>
                <w:szCs w:val="22"/>
              </w:rPr>
              <w:t>00 palabras</w:t>
            </w:r>
            <w:r w:rsidRPr="0708DD1B">
              <w:rPr>
                <w:rFonts w:asciiTheme="minorHAnsi" w:hAnsiTheme="minorHAnsi" w:cs="Arial"/>
                <w:smallCaps/>
                <w:sz w:val="22"/>
                <w:szCs w:val="22"/>
              </w:rPr>
              <w:t>): 5 puntos contenido</w:t>
            </w:r>
          </w:p>
        </w:tc>
      </w:tr>
      <w:tr w:rsidR="00C027A8" w:rsidRPr="00931ED6" w14:paraId="37FE2FBD" w14:textId="77777777" w:rsidTr="00735297">
        <w:trPr>
          <w:trHeight w:val="2010"/>
        </w:trPr>
        <w:tc>
          <w:tcPr>
            <w:tcW w:w="11383" w:type="dxa"/>
            <w:gridSpan w:val="7"/>
          </w:tcPr>
          <w:p w14:paraId="570417DF" w14:textId="29B44B4D" w:rsidR="000354F3" w:rsidRPr="008A29B9" w:rsidRDefault="0076220E" w:rsidP="000354F3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A29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Frente a la gerencia en los últimos 7 años, se evidencia una estrategia de crecimiento inorgánico e internacionalización de la compañía, prueba de esto son las recientes adquisiciones de minas en Latinoamérica, H</w:t>
            </w:r>
            <w:r w:rsidR="009B1AF5" w:rsidRPr="008A29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EMCO</w:t>
            </w:r>
            <w:r w:rsidRPr="008A29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Nicaragua (2013),  Gualcamayo Argentina (2018), y la reciente exploración en la Pepa Chile (2018) .Por otro lado, uno de los enfoques principales de la gerencia es la responsabilidad social y medio ambiental, </w:t>
            </w:r>
            <w:r w:rsidR="000354F3" w:rsidRPr="008A29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demostrado en</w:t>
            </w:r>
            <w:r w:rsidRPr="008A29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la inversión en plantaciones de caucho, dirigidas por Negocios Agroforestales SA, encaminados al desarrollo económico de la región, además de los reconocimientos recibidos como el Premio de responsabilidad ambiental (2013).</w:t>
            </w:r>
          </w:p>
          <w:p w14:paraId="5C46BFE8" w14:textId="16C1D8A9" w:rsidR="000354F3" w:rsidRPr="008A29B9" w:rsidRDefault="03921197" w:rsidP="000354F3">
            <w:pPr>
              <w:pStyle w:val="NormalWeb"/>
              <w:numPr>
                <w:ilvl w:val="0"/>
                <w:numId w:val="37"/>
              </w:num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A29B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Andrés Restrepo Isaza: </w:t>
            </w:r>
            <w:r w:rsidRPr="008A29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3C5ABA" w:rsidRPr="008A29B9">
              <w:rPr>
                <w:rFonts w:asciiTheme="minorHAnsi" w:hAnsiTheme="minorHAnsi" w:cstheme="minorHAnsi"/>
                <w:sz w:val="20"/>
                <w:szCs w:val="20"/>
              </w:rPr>
              <w:t>asumió la presidencia de la compañía en 2015, es Ingeniero de Producción de la Universidad EAFIT y cuenta con un Máster en Administración Pública de la Universidad de Harvard, previo su ingreso se desempeñó en los cargos directivos de empresas como Orbitel, Edatel, Brinsa, ANDI, entre otros.</w:t>
            </w:r>
          </w:p>
          <w:p w14:paraId="1CCE78D4" w14:textId="7C9A81EF" w:rsidR="00C027A8" w:rsidRPr="003C5ABA" w:rsidRDefault="03921197" w:rsidP="000354F3">
            <w:pPr>
              <w:pStyle w:val="NormalWeb"/>
              <w:numPr>
                <w:ilvl w:val="0"/>
                <w:numId w:val="37"/>
              </w:num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8A29B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Alan Wancier</w:t>
            </w:r>
            <w:r w:rsidR="000354F3" w:rsidRPr="008A29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: </w:t>
            </w:r>
            <w:r w:rsidR="00321B7D" w:rsidRPr="008A29B9">
              <w:rPr>
                <w:rFonts w:asciiTheme="minorHAnsi" w:hAnsiTheme="minorHAnsi" w:cstheme="minorHAnsi"/>
                <w:sz w:val="20"/>
                <w:szCs w:val="20"/>
              </w:rPr>
              <w:t>asumió la VP Administrativa y Financiera en 2019, es Ingeniero Industrial de la Universidad de los Andes y cuenta con un MBA de la Universidad de Rochester. Previo a su ingreso a Mineros en 2014, como CFO de HEMCO Nicaragua, se desempeñó como Director Financiero en Diageo.</w:t>
            </w:r>
          </w:p>
        </w:tc>
      </w:tr>
      <w:tr w:rsidR="00200610" w:rsidRPr="00200610" w14:paraId="5CE9F6F7" w14:textId="77777777" w:rsidTr="00735297">
        <w:trPr>
          <w:trHeight w:val="274"/>
        </w:trPr>
        <w:tc>
          <w:tcPr>
            <w:tcW w:w="11383" w:type="dxa"/>
            <w:gridSpan w:val="7"/>
          </w:tcPr>
          <w:p w14:paraId="365102EC" w14:textId="3FDE31D1" w:rsidR="00200610" w:rsidRPr="00200610" w:rsidRDefault="00200610" w:rsidP="63D4B9B3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63D4B9B3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lastRenderedPageBreak/>
              <w:t xml:space="preserve">Análisis de la </w:t>
            </w:r>
            <w:r w:rsidR="00C50293" w:rsidRPr="63D4B9B3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situación financiera de la </w:t>
            </w:r>
            <w:r w:rsidRPr="63D4B9B3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empresa </w:t>
            </w:r>
            <w:r w:rsidRPr="63D4B9B3">
              <w:rPr>
                <w:rFonts w:asciiTheme="minorHAnsi" w:hAnsiTheme="minorHAnsi" w:cs="Arial"/>
                <w:smallCaps/>
                <w:sz w:val="22"/>
                <w:szCs w:val="22"/>
              </w:rPr>
              <w:t>(</w:t>
            </w:r>
            <w:r w:rsidRPr="63D4B9B3">
              <w:rPr>
                <w:rFonts w:asciiTheme="minorHAnsi" w:hAnsiTheme="minorHAnsi" w:cs="Arial"/>
                <w:sz w:val="22"/>
                <w:szCs w:val="22"/>
              </w:rPr>
              <w:t xml:space="preserve">Máximo </w:t>
            </w:r>
            <w:r w:rsidR="00F83DEB" w:rsidRPr="63D4B9B3">
              <w:rPr>
                <w:rFonts w:asciiTheme="minorHAnsi" w:hAnsiTheme="minorHAnsi" w:cs="Arial"/>
                <w:sz w:val="22"/>
                <w:szCs w:val="22"/>
              </w:rPr>
              <w:t>55</w:t>
            </w:r>
            <w:r w:rsidRPr="63D4B9B3">
              <w:rPr>
                <w:rFonts w:asciiTheme="minorHAnsi" w:hAnsiTheme="minorHAnsi" w:cs="Arial"/>
                <w:sz w:val="22"/>
                <w:szCs w:val="22"/>
              </w:rPr>
              <w:t>0 palabras</w:t>
            </w:r>
            <w:r w:rsidRPr="63D4B9B3">
              <w:rPr>
                <w:rFonts w:asciiTheme="minorHAnsi" w:hAnsiTheme="minorHAnsi" w:cs="Arial"/>
                <w:smallCaps/>
                <w:sz w:val="22"/>
                <w:szCs w:val="22"/>
              </w:rPr>
              <w:t>)</w:t>
            </w:r>
            <w:r w:rsidR="008C7A5A" w:rsidRPr="63D4B9B3">
              <w:rPr>
                <w:rFonts w:asciiTheme="minorHAnsi" w:hAnsiTheme="minorHAnsi" w:cs="Arial"/>
                <w:smallCaps/>
                <w:sz w:val="22"/>
                <w:szCs w:val="22"/>
              </w:rPr>
              <w:t xml:space="preserve"> 30 puntos contenido</w:t>
            </w:r>
          </w:p>
        </w:tc>
      </w:tr>
      <w:tr w:rsidR="00200610" w:rsidRPr="00931ED6" w14:paraId="16281ABA" w14:textId="77777777" w:rsidTr="009758A6">
        <w:trPr>
          <w:trHeight w:val="7788"/>
        </w:trPr>
        <w:tc>
          <w:tcPr>
            <w:tcW w:w="11383" w:type="dxa"/>
            <w:gridSpan w:val="7"/>
          </w:tcPr>
          <w:p w14:paraId="463CCE64" w14:textId="1DB308A8" w:rsidR="00ED153C" w:rsidRPr="00ED153C" w:rsidRDefault="236E5C9B" w:rsidP="236E5C9B">
            <w:pPr>
              <w:pStyle w:val="paragraph"/>
              <w:spacing w:before="0" w:beforeAutospacing="0" w:after="240" w:afterAutospacing="0"/>
              <w:jc w:val="both"/>
              <w:textAlignment w:val="baseline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236E5C9B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Frente al análisis de crédito, los analistas del Grupo H </w:t>
            </w:r>
            <w:r w:rsidR="005A417A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recomiendan </w:t>
            </w:r>
            <w:r w:rsidRPr="236E5C9B">
              <w:rPr>
                <w:rFonts w:asciiTheme="minorHAnsi" w:eastAsia="Calibri" w:hAnsiTheme="minorHAnsi" w:cstheme="minorBidi"/>
                <w:sz w:val="20"/>
                <w:szCs w:val="20"/>
              </w:rPr>
              <w:t>no prestar el 5% de los Ingresos operacionales a corto plazo, teniendo como argumentos principales, la rentabilidad de la compañía, la estructura de capital, y la liquidez.</w:t>
            </w:r>
          </w:p>
          <w:p w14:paraId="78AAFB6A" w14:textId="5095C27D" w:rsidR="00ED153C" w:rsidRPr="00ED153C" w:rsidRDefault="00265F0A" w:rsidP="00ED153C">
            <w:pPr>
              <w:pStyle w:val="paragraph"/>
              <w:spacing w:before="0" w:beforeAutospacing="0" w:after="240" w:afterAutospacing="0"/>
              <w:jc w:val="both"/>
              <w:textAlignment w:val="baseline"/>
              <w:rPr>
                <w:rStyle w:val="eop"/>
                <w:rFonts w:asciiTheme="minorHAnsi" w:eastAsia="Calibri" w:hAnsiTheme="minorHAnsi" w:cstheme="minorBid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Para</w:t>
            </w:r>
            <w:r w:rsidR="00DE0A16" w:rsidRPr="236E5C9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 2018 el Margen EBITDA disminuyó (35,9% vs 32,1%), </w:t>
            </w:r>
            <w:r w:rsidR="00D65BF2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debido a</w:t>
            </w:r>
            <w:r w:rsidR="00DE0A16" w:rsidRPr="236E5C9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l decrecimiento de las </w:t>
            </w:r>
            <w:r w:rsidR="236E5C9B" w:rsidRPr="236E5C9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Ventas </w:t>
            </w:r>
            <w:r w:rsidR="00DE0A16" w:rsidRPr="236E5C9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netas (-7,1%) en mayor proporción que el decrecimiento del </w:t>
            </w:r>
            <w:r w:rsidR="236E5C9B" w:rsidRPr="236E5C9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Costo</w:t>
            </w:r>
            <w:r w:rsidR="00DE0A16" w:rsidRPr="236E5C9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 de ventas (-2,1%), además, los </w:t>
            </w:r>
            <w:r w:rsidR="236E5C9B" w:rsidRPr="236E5C9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Gastos</w:t>
            </w:r>
            <w:r w:rsidR="00DE0A16" w:rsidRPr="236E5C9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 operacionales</w:t>
            </w:r>
            <w:r w:rsidR="00077595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00DE0A16" w:rsidRPr="236E5C9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crecieron en 5,4%</w:t>
            </w:r>
            <w:r w:rsidR="00D51E6D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, </w:t>
            </w:r>
            <w:r w:rsidR="00077595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su </w:t>
            </w:r>
            <w:r w:rsidR="00077595" w:rsidRPr="236E5C9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participación </w:t>
            </w:r>
            <w:r w:rsidR="00D51E6D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pasó de </w:t>
            </w:r>
            <w:r w:rsidR="00ED39AE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3,2% a 3,6%</w:t>
            </w:r>
            <w:r w:rsidR="00DE0A16" w:rsidRPr="236E5C9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. No obstante lo anterior, la </w:t>
            </w:r>
            <w:r w:rsidR="236E5C9B" w:rsidRPr="236E5C9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rentabilidad</w:t>
            </w:r>
            <w:r w:rsidR="00DE0A16" w:rsidRPr="236E5C9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 de las </w:t>
            </w:r>
            <w:r w:rsidR="236E5C9B" w:rsidRPr="236E5C9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ventas </w:t>
            </w:r>
            <w:r w:rsidR="001A7198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(ROS) </w:t>
            </w:r>
            <w:r w:rsidR="00DE0A16" w:rsidRPr="236E5C9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aumentó, 14,8% vs 19,5% (Grafica 1), </w:t>
            </w:r>
            <w:r w:rsidR="236E5C9B" w:rsidRPr="236E5C9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debido</w:t>
            </w:r>
            <w:r w:rsidR="00DE0A16" w:rsidRPr="236E5C9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 a un crecimiento en la parte no operacional, pues los Otros </w:t>
            </w:r>
            <w:r w:rsidR="236E5C9B" w:rsidRPr="236E5C9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egresos</w:t>
            </w:r>
            <w:r w:rsidR="00DE0A16" w:rsidRPr="236E5C9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 No </w:t>
            </w:r>
            <w:r w:rsidR="236E5C9B" w:rsidRPr="236E5C9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financieros</w:t>
            </w:r>
            <w:r w:rsidR="00DE0A16" w:rsidRPr="236E5C9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 pasaron a ser ingresos, estos crecieron -220,8%,</w:t>
            </w:r>
            <w:r w:rsidR="005A3837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00DE0A16" w:rsidRPr="236E5C9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pasó de </w:t>
            </w:r>
            <w:r w:rsidR="00077595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-</w:t>
            </w:r>
            <w:r w:rsidR="00DE0A16" w:rsidRPr="236E5C9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2,0% a 2,6%, siendo así la más alta en los últimos años.  Por otra parte, si bien, el patrimonio se incrementó 10,1%, su participación disminuyó respecto a 2017 (67,8% vs 55,6%), de igual forma el aumento del </w:t>
            </w:r>
            <w:r w:rsidR="236E5C9B" w:rsidRPr="236E5C9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Activo</w:t>
            </w:r>
            <w:r w:rsidR="00DE0A16" w:rsidRPr="236E5C9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 fue mayor (34,2</w:t>
            </w:r>
            <w:r w:rsidR="236E5C9B" w:rsidRPr="236E5C9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%),</w:t>
            </w:r>
            <w:r w:rsidR="00DE0A16" w:rsidRPr="236E5C9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 ocasionad</w:t>
            </w:r>
            <w:r w:rsidR="00220F5A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o</w:t>
            </w:r>
            <w:r w:rsidR="00DE0A16" w:rsidRPr="236E5C9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 por el incremento de los inventarios netos (457,0%) y la propiedad, planta &amp; equipo (21,3%), </w:t>
            </w:r>
            <w:r w:rsidR="236E5C9B" w:rsidRPr="236E5C9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representando</w:t>
            </w:r>
            <w:r w:rsidR="00DE0A16" w:rsidRPr="236E5C9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 61,6% del total de Activos, comportamiento explicado por la adquisición de la Mina en Gualcamayo, Argentina</w:t>
            </w:r>
            <w:r w:rsidR="00394C06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; e</w:t>
            </w:r>
            <w:r w:rsidR="00DE0A16" w:rsidRPr="236E5C9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n consecuencia, el Multiplicador de </w:t>
            </w:r>
            <w:r w:rsidR="236E5C9B" w:rsidRPr="236E5C9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capital aumentó</w:t>
            </w:r>
            <w:r w:rsidR="00AD6BA7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 (</w:t>
            </w:r>
            <w:r w:rsidR="00DE0A16" w:rsidRPr="236E5C9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1,47x </w:t>
            </w:r>
            <w:r w:rsidR="236E5C9B" w:rsidRPr="236E5C9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a</w:t>
            </w:r>
            <w:r w:rsidR="00DE0A16" w:rsidRPr="236E5C9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 1,80x</w:t>
            </w:r>
            <w:r w:rsidR="00394C06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)</w:t>
            </w:r>
            <w:r w:rsidR="006B0BEE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. </w:t>
            </w:r>
            <w:r w:rsidR="00DE0A16" w:rsidRPr="236E5C9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Este aumento</w:t>
            </w:r>
            <w:r w:rsidR="00A51359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 del</w:t>
            </w:r>
            <w:r w:rsidR="00DE0A16" w:rsidRPr="236E5C9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 ROS</w:t>
            </w:r>
            <w:r w:rsidR="236E5C9B" w:rsidRPr="236E5C9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,</w:t>
            </w:r>
            <w:r w:rsidR="00DE0A16" w:rsidRPr="236E5C9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 y del Multiplicador de Capital, soportaron la disminución del RAT (0,79x vs 0,55x), ocasionado por el decrecimiento de las </w:t>
            </w:r>
            <w:r w:rsidR="236E5C9B" w:rsidRPr="236E5C9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Ventas</w:t>
            </w:r>
            <w:r w:rsidR="00DE0A16" w:rsidRPr="236E5C9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 netas y aumento del total de activos anteriormente explicados</w:t>
            </w:r>
            <w:r w:rsidR="00ED39AE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 (</w:t>
            </w:r>
            <w:r w:rsidR="00DE0A16" w:rsidRPr="236E5C9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gráfica 1</w:t>
            </w:r>
            <w:r w:rsidR="00ED39AE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)</w:t>
            </w:r>
            <w:r w:rsidR="00DE0A16" w:rsidRPr="236E5C9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,</w:t>
            </w:r>
            <w:r w:rsidR="00FD4560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002E397D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por tanto,</w:t>
            </w:r>
            <w:r w:rsidR="00DE0A16" w:rsidRPr="236E5C9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 el ROE aumentó (17,2% vs 19,1%). </w:t>
            </w:r>
          </w:p>
          <w:p w14:paraId="55935A56" w14:textId="212A23CA" w:rsidR="00200610" w:rsidRPr="00ED153C" w:rsidRDefault="00D204F6" w:rsidP="236E5C9B">
            <w:pPr>
              <w:pStyle w:val="paragraph"/>
              <w:spacing w:before="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En cuanto</w:t>
            </w:r>
            <w:r w:rsidR="236E5C9B" w:rsidRPr="236E5C9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 a la estructura del capital, se evidencia que el pasivo corriente está concentrado en las cuentas por pagar a proveedores (11,9%) y la Porción corriente de deuda financiera a LP (4,4%), las cuales aumentaron, 364,4% y 235,0% respectivamente, asimismo, si bien la participación de las Obligaciones financieras a largo plazo disminuyó (12,6% vs 11,0%), esta creció 16,9%, comportamientos explicados por la mencionada adquisición. Sumado al decrecimiento del EBITDA (-16,8%) y al aumento de la participación del gasto de intereses (1,5% vs 1,6%) junto el mencionado crecimiento de la porción corriente de la deuda financiera, la capacidad de pago de la compañía, representado en el cubrimiento del servicio a la deuda disminuyó (9,53x vs 3,32x). Asimismo, la concentración del endeudamiento en el corto plazo aumentó (31,6% vs 49,3%), comportamiento similar al 2013 y 2014 (gráfica 2) cuando se adquirió HEMCO, pasó </w:t>
            </w:r>
            <w:r w:rsidR="00130840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de </w:t>
            </w:r>
            <w:r w:rsidR="236E5C9B" w:rsidRPr="236E5C9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40,8% </w:t>
            </w:r>
            <w:r w:rsidR="00130840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a</w:t>
            </w:r>
            <w:r w:rsidR="236E5C9B" w:rsidRPr="236E5C9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 56,2%.</w:t>
            </w:r>
          </w:p>
          <w:p w14:paraId="19F1B49A" w14:textId="09EDDF28" w:rsidR="00077595" w:rsidRDefault="003D0BE4" w:rsidP="00CC4DE9">
            <w:pPr>
              <w:pStyle w:val="paragraph"/>
              <w:spacing w:before="0" w:beforeAutospacing="0" w:after="240" w:afterAutospacing="0"/>
              <w:jc w:val="both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003D0BE4">
              <w:rPr>
                <w:rFonts w:ascii="Calibri" w:eastAsia="Calibri" w:hAnsi="Calibri" w:cs="Calibri"/>
                <w:sz w:val="20"/>
                <w:szCs w:val="20"/>
              </w:rPr>
              <w:t xml:space="preserve">Finalmente, a pesar </w:t>
            </w:r>
            <w:r w:rsidR="00D204F6">
              <w:rPr>
                <w:rFonts w:ascii="Calibri" w:eastAsia="Calibri" w:hAnsi="Calibri" w:cs="Calibri"/>
                <w:sz w:val="20"/>
                <w:szCs w:val="20"/>
              </w:rPr>
              <w:t>del aumento de</w:t>
            </w:r>
            <w:r w:rsidRPr="003D0BE4">
              <w:rPr>
                <w:rFonts w:ascii="Calibri" w:eastAsia="Calibri" w:hAnsi="Calibri" w:cs="Calibri"/>
                <w:sz w:val="20"/>
                <w:szCs w:val="20"/>
              </w:rPr>
              <w:t xml:space="preserve"> las cuentas por pagar a proveedores</w:t>
            </w:r>
            <w:r w:rsidR="00D204F6"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r w:rsidRPr="003D0BE4">
              <w:rPr>
                <w:rFonts w:ascii="Calibri" w:eastAsia="Calibri" w:hAnsi="Calibri" w:cs="Calibri"/>
                <w:sz w:val="20"/>
                <w:szCs w:val="20"/>
              </w:rPr>
              <w:t>364,4</w:t>
            </w:r>
            <w:r w:rsidR="5FA5AB3B" w:rsidRPr="5FA5AB3B">
              <w:rPr>
                <w:rFonts w:ascii="Calibri" w:eastAsia="Calibri" w:hAnsi="Calibri" w:cs="Calibri"/>
                <w:sz w:val="20"/>
                <w:szCs w:val="20"/>
              </w:rPr>
              <w:t>%),</w:t>
            </w:r>
            <w:r w:rsidR="00C54C7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D0BE4">
              <w:rPr>
                <w:rFonts w:ascii="Calibri" w:eastAsia="Calibri" w:hAnsi="Calibri" w:cs="Calibri"/>
                <w:sz w:val="20"/>
                <w:szCs w:val="20"/>
              </w:rPr>
              <w:t>al pasar de 3,4% (2017) a 11,9% (2018)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el incremento del inventario ne</w:t>
            </w:r>
            <w:r w:rsidR="00C00307">
              <w:rPr>
                <w:rFonts w:ascii="Calibri" w:eastAsia="Calibri" w:hAnsi="Calibri" w:cs="Calibri"/>
                <w:sz w:val="20"/>
                <w:szCs w:val="20"/>
              </w:rPr>
              <w:t xml:space="preserve">to fue mayor </w:t>
            </w:r>
            <w:r w:rsidR="004F2F30">
              <w:rPr>
                <w:rFonts w:ascii="Calibri" w:eastAsia="Calibri" w:hAnsi="Calibri" w:cs="Calibri"/>
                <w:sz w:val="20"/>
                <w:szCs w:val="20"/>
              </w:rPr>
              <w:t xml:space="preserve">457,0%, pasó de </w:t>
            </w:r>
            <w:r w:rsidR="00CE5D18">
              <w:rPr>
                <w:rFonts w:ascii="Calibri" w:eastAsia="Calibri" w:hAnsi="Calibri" w:cs="Calibri"/>
                <w:sz w:val="20"/>
                <w:szCs w:val="20"/>
              </w:rPr>
              <w:t xml:space="preserve">3,2% a 13,1%, </w:t>
            </w:r>
            <w:r w:rsidR="003620E2">
              <w:rPr>
                <w:rFonts w:ascii="Calibri" w:eastAsia="Calibri" w:hAnsi="Calibri" w:cs="Calibri"/>
                <w:sz w:val="20"/>
                <w:szCs w:val="20"/>
              </w:rPr>
              <w:t xml:space="preserve">en congruencia </w:t>
            </w:r>
            <w:r w:rsidR="003620E2" w:rsidRPr="003D0BE4">
              <w:rPr>
                <w:rFonts w:ascii="Calibri" w:eastAsia="Calibri" w:hAnsi="Calibri" w:cs="Calibri"/>
                <w:sz w:val="20"/>
                <w:szCs w:val="20"/>
              </w:rPr>
              <w:t>el Ciclo de conversión de efectivo pas</w:t>
            </w:r>
            <w:r w:rsidR="003620E2">
              <w:rPr>
                <w:rFonts w:ascii="Calibri" w:eastAsia="Calibri" w:hAnsi="Calibri" w:cs="Calibri"/>
                <w:sz w:val="20"/>
                <w:szCs w:val="20"/>
              </w:rPr>
              <w:t xml:space="preserve">ó </w:t>
            </w:r>
            <w:r w:rsidR="003620E2" w:rsidRPr="003D0BE4">
              <w:rPr>
                <w:rFonts w:ascii="Calibri" w:eastAsia="Calibri" w:hAnsi="Calibri" w:cs="Calibri"/>
                <w:sz w:val="20"/>
                <w:szCs w:val="20"/>
              </w:rPr>
              <w:t>de 6 a 33 días</w:t>
            </w:r>
            <w:r w:rsidR="003620E2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B95938">
              <w:rPr>
                <w:rFonts w:ascii="Calibri" w:eastAsia="Calibri" w:hAnsi="Calibri" w:cs="Calibri"/>
                <w:sz w:val="20"/>
                <w:szCs w:val="20"/>
              </w:rPr>
              <w:t xml:space="preserve">y la inversión en capital de trabajo operativo aumentó, pasó de </w:t>
            </w:r>
            <w:r w:rsidR="0034779B">
              <w:rPr>
                <w:rFonts w:ascii="Calibri" w:eastAsia="Calibri" w:hAnsi="Calibri" w:cs="Calibri"/>
                <w:sz w:val="20"/>
                <w:szCs w:val="20"/>
              </w:rPr>
              <w:t xml:space="preserve">USD </w:t>
            </w:r>
            <w:r w:rsidR="0034779B" w:rsidRPr="0034779B">
              <w:rPr>
                <w:rFonts w:ascii="Calibri" w:eastAsia="Calibri" w:hAnsi="Calibri" w:cs="Calibri"/>
                <w:sz w:val="20"/>
                <w:szCs w:val="20"/>
              </w:rPr>
              <w:t>4.642</w:t>
            </w:r>
            <w:r w:rsidR="00D147E5">
              <w:rPr>
                <w:rFonts w:ascii="Calibri" w:eastAsia="Calibri" w:hAnsi="Calibri" w:cs="Calibri"/>
                <w:sz w:val="20"/>
                <w:szCs w:val="20"/>
              </w:rPr>
              <w:t xml:space="preserve">M </w:t>
            </w:r>
            <w:r w:rsidR="0034779B">
              <w:rPr>
                <w:rFonts w:ascii="Calibri" w:eastAsia="Calibri" w:hAnsi="Calibri" w:cs="Calibri"/>
                <w:sz w:val="20"/>
                <w:szCs w:val="20"/>
              </w:rPr>
              <w:t xml:space="preserve">a USD </w:t>
            </w:r>
            <w:r w:rsidR="0034779B" w:rsidRPr="0034779B">
              <w:rPr>
                <w:rFonts w:ascii="Calibri" w:eastAsia="Calibri" w:hAnsi="Calibri" w:cs="Calibri"/>
                <w:sz w:val="20"/>
                <w:szCs w:val="20"/>
              </w:rPr>
              <w:t>14.403</w:t>
            </w:r>
            <w:r w:rsidR="00D147E5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="0020711A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0034779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00214">
              <w:rPr>
                <w:rFonts w:ascii="Calibri" w:eastAsia="Calibri" w:hAnsi="Calibri" w:cs="Calibri"/>
                <w:sz w:val="20"/>
                <w:szCs w:val="20"/>
              </w:rPr>
              <w:t xml:space="preserve">por tanto, si bien el </w:t>
            </w:r>
            <w:r w:rsidR="5FA5AB3B" w:rsidRPr="5FA5AB3B">
              <w:rPr>
                <w:rFonts w:ascii="Calibri" w:eastAsia="Calibri" w:hAnsi="Calibri" w:cs="Calibri"/>
                <w:sz w:val="20"/>
                <w:szCs w:val="20"/>
              </w:rPr>
              <w:t>EBITDA</w:t>
            </w:r>
            <w:r w:rsidR="00E00214">
              <w:rPr>
                <w:rFonts w:ascii="Calibri" w:eastAsia="Calibri" w:hAnsi="Calibri" w:cs="Calibri"/>
                <w:sz w:val="20"/>
                <w:szCs w:val="20"/>
              </w:rPr>
              <w:t xml:space="preserve"> disminuyó,</w:t>
            </w:r>
            <w:r w:rsidR="00E00214" w:rsidRPr="003D0BE4">
              <w:rPr>
                <w:rFonts w:ascii="Calibri" w:eastAsia="Calibri" w:hAnsi="Calibri" w:cs="Calibri"/>
                <w:sz w:val="20"/>
                <w:szCs w:val="20"/>
              </w:rPr>
              <w:t xml:space="preserve"> el Flujo de caja disponible para reinversión</w:t>
            </w:r>
            <w:r w:rsidR="00D7671E">
              <w:rPr>
                <w:rFonts w:ascii="Calibri" w:eastAsia="Calibri" w:hAnsi="Calibri" w:cs="Calibri"/>
                <w:sz w:val="20"/>
                <w:szCs w:val="20"/>
              </w:rPr>
              <w:t xml:space="preserve"> l</w:t>
            </w:r>
            <w:r w:rsidR="00E00214">
              <w:rPr>
                <w:rFonts w:ascii="Calibri" w:eastAsia="Calibri" w:hAnsi="Calibri" w:cs="Calibri"/>
                <w:sz w:val="20"/>
                <w:szCs w:val="20"/>
              </w:rPr>
              <w:t>o hizo en mayor proporción</w:t>
            </w:r>
            <w:r w:rsidR="00D7671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D5CBD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="00215DE2">
              <w:rPr>
                <w:rFonts w:ascii="Calibri" w:eastAsia="Calibri" w:hAnsi="Calibri" w:cs="Calibri"/>
                <w:sz w:val="20"/>
                <w:szCs w:val="20"/>
              </w:rPr>
              <w:t>USD</w:t>
            </w:r>
            <w:r w:rsidR="00215DE2" w:rsidRPr="00215DE2">
              <w:rPr>
                <w:rFonts w:ascii="Calibri" w:eastAsia="Calibri" w:hAnsi="Calibri" w:cs="Calibri"/>
                <w:sz w:val="20"/>
                <w:szCs w:val="20"/>
              </w:rPr>
              <w:t xml:space="preserve"> 19.</w:t>
            </w:r>
            <w:r w:rsidR="1C5F325E" w:rsidRPr="1C5F325E">
              <w:rPr>
                <w:rFonts w:ascii="Calibri" w:eastAsia="Calibri" w:hAnsi="Calibri" w:cs="Calibri"/>
                <w:sz w:val="20"/>
                <w:szCs w:val="20"/>
              </w:rPr>
              <w:t>919M</w:t>
            </w:r>
            <w:r w:rsidR="00215DE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D5CBD">
              <w:rPr>
                <w:rFonts w:ascii="Calibri" w:eastAsia="Calibri" w:hAnsi="Calibri" w:cs="Calibri"/>
                <w:sz w:val="20"/>
                <w:szCs w:val="20"/>
              </w:rPr>
              <w:t>vs</w:t>
            </w:r>
            <w:r w:rsidR="00215DE2" w:rsidRPr="00215DE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15DE2">
              <w:rPr>
                <w:rFonts w:ascii="Calibri" w:eastAsia="Calibri" w:hAnsi="Calibri" w:cs="Calibri"/>
                <w:sz w:val="20"/>
                <w:szCs w:val="20"/>
              </w:rPr>
              <w:t xml:space="preserve">USD </w:t>
            </w:r>
            <w:r w:rsidR="5FA5AB3B" w:rsidRPr="5FA5AB3B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215DE2" w:rsidRPr="00215DE2">
              <w:rPr>
                <w:rFonts w:ascii="Calibri" w:eastAsia="Calibri" w:hAnsi="Calibri" w:cs="Calibri"/>
                <w:sz w:val="20"/>
                <w:szCs w:val="20"/>
              </w:rPr>
              <w:t>11.256</w:t>
            </w:r>
            <w:r w:rsidR="00F43942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="00322667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="00E00214">
              <w:rPr>
                <w:rFonts w:ascii="Calibri" w:eastAsia="Calibri" w:hAnsi="Calibri" w:cs="Calibri"/>
                <w:sz w:val="20"/>
                <w:szCs w:val="20"/>
              </w:rPr>
              <w:t xml:space="preserve">, generando que </w:t>
            </w:r>
            <w:r w:rsidR="00E00214" w:rsidRPr="003D0BE4">
              <w:rPr>
                <w:rFonts w:ascii="Calibri" w:eastAsia="Calibri" w:hAnsi="Calibri" w:cs="Calibri"/>
                <w:sz w:val="20"/>
                <w:szCs w:val="20"/>
              </w:rPr>
              <w:t xml:space="preserve">el Flujo de caja disponible para reinversión </w:t>
            </w:r>
            <w:r w:rsidR="00D204F6">
              <w:rPr>
                <w:rFonts w:ascii="Calibri" w:eastAsia="Calibri" w:hAnsi="Calibri" w:cs="Calibri"/>
                <w:sz w:val="20"/>
                <w:szCs w:val="20"/>
              </w:rPr>
              <w:t>sobre</w:t>
            </w:r>
            <w:r w:rsidR="00E00214" w:rsidRPr="003D0BE4">
              <w:rPr>
                <w:rFonts w:ascii="Calibri" w:eastAsia="Calibri" w:hAnsi="Calibri" w:cs="Calibri"/>
                <w:sz w:val="20"/>
                <w:szCs w:val="20"/>
              </w:rPr>
              <w:t xml:space="preserve"> EBITDA </w:t>
            </w:r>
            <w:r w:rsidR="00D204F6">
              <w:rPr>
                <w:rFonts w:ascii="Calibri" w:eastAsia="Calibri" w:hAnsi="Calibri" w:cs="Calibri"/>
                <w:sz w:val="20"/>
                <w:szCs w:val="20"/>
              </w:rPr>
              <w:t>disminuyera (</w:t>
            </w:r>
            <w:r w:rsidR="00CC4DE9">
              <w:rPr>
                <w:rFonts w:ascii="Calibri" w:eastAsia="Calibri" w:hAnsi="Calibri" w:cs="Calibri"/>
                <w:sz w:val="20"/>
                <w:szCs w:val="20"/>
              </w:rPr>
              <w:t xml:space="preserve">21,0% </w:t>
            </w:r>
            <w:r w:rsidR="00D204F6">
              <w:rPr>
                <w:rFonts w:ascii="Calibri" w:eastAsia="Calibri" w:hAnsi="Calibri" w:cs="Calibri"/>
                <w:sz w:val="20"/>
                <w:szCs w:val="20"/>
              </w:rPr>
              <w:t>vs</w:t>
            </w:r>
            <w:r w:rsidR="00CC4DE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00214" w:rsidRPr="003D0BE4">
              <w:rPr>
                <w:rFonts w:ascii="Calibri" w:eastAsia="Calibri" w:hAnsi="Calibri" w:cs="Calibri"/>
                <w:sz w:val="20"/>
                <w:szCs w:val="20"/>
              </w:rPr>
              <w:t>-14,2%</w:t>
            </w:r>
            <w:r w:rsidR="00D204F6">
              <w:rPr>
                <w:rFonts w:ascii="Calibri" w:eastAsia="Calibri" w:hAnsi="Calibri" w:cs="Calibri"/>
                <w:sz w:val="20"/>
                <w:szCs w:val="20"/>
              </w:rPr>
              <w:t>).</w:t>
            </w:r>
          </w:p>
          <w:p w14:paraId="11055F5D" w14:textId="2F0E8A29" w:rsidR="00200610" w:rsidRPr="006B0BEE" w:rsidRDefault="000800AE" w:rsidP="236E5C9B">
            <w:pPr>
              <w:pStyle w:val="paragraph"/>
              <w:spacing w:before="0" w:beforeAutospacing="0" w:after="240" w:afterAutospacing="0"/>
              <w:jc w:val="both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 conclusión</w:t>
            </w:r>
            <w:r w:rsidR="236E5C9B" w:rsidRPr="236E5C9B">
              <w:rPr>
                <w:rFonts w:ascii="Calibri" w:eastAsia="Calibri" w:hAnsi="Calibri" w:cs="Calibri"/>
                <w:sz w:val="20"/>
                <w:szCs w:val="20"/>
              </w:rPr>
              <w:t xml:space="preserve">, pese al aumento de la rentabilidad de la compañía, la estructura del pasivo se encuentra en gran parte concentrada </w:t>
            </w:r>
            <w:r w:rsidR="00394C0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236E5C9B" w:rsidRPr="236E5C9B">
              <w:rPr>
                <w:rFonts w:ascii="Calibri" w:eastAsia="Calibri" w:hAnsi="Calibri" w:cs="Calibri"/>
                <w:sz w:val="20"/>
                <w:szCs w:val="20"/>
              </w:rPr>
              <w:t>l corto plazo, a</w:t>
            </w:r>
            <w:r w:rsidR="00394C06">
              <w:rPr>
                <w:rFonts w:ascii="Calibri" w:eastAsia="Calibri" w:hAnsi="Calibri" w:cs="Calibri"/>
                <w:sz w:val="20"/>
                <w:szCs w:val="20"/>
              </w:rPr>
              <w:t>demás se evidencia una liquidez</w:t>
            </w:r>
            <w:r w:rsidR="236E5C9B" w:rsidRPr="236E5C9B">
              <w:rPr>
                <w:rFonts w:ascii="Calibri" w:eastAsia="Calibri" w:hAnsi="Calibri" w:cs="Calibri"/>
                <w:sz w:val="20"/>
                <w:szCs w:val="20"/>
              </w:rPr>
              <w:t xml:space="preserve"> comprometida</w:t>
            </w:r>
            <w:r w:rsidR="00394C06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236E5C9B" w:rsidRPr="236E5C9B">
              <w:rPr>
                <w:rFonts w:ascii="Calibri" w:eastAsia="Calibri" w:hAnsi="Calibri" w:cs="Calibri"/>
                <w:sz w:val="20"/>
                <w:szCs w:val="20"/>
              </w:rPr>
              <w:t xml:space="preserve"> evidenciad</w:t>
            </w:r>
            <w:r w:rsidR="00394C0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236E5C9B" w:rsidRPr="236E5C9B">
              <w:rPr>
                <w:rFonts w:ascii="Calibri" w:eastAsia="Calibri" w:hAnsi="Calibri" w:cs="Calibri"/>
                <w:sz w:val="20"/>
                <w:szCs w:val="20"/>
              </w:rPr>
              <w:t xml:space="preserve"> en el flujo de caja negativo para 2018, </w:t>
            </w:r>
            <w:r w:rsidR="00394C06">
              <w:rPr>
                <w:rFonts w:ascii="Calibri" w:eastAsia="Calibri" w:hAnsi="Calibri" w:cs="Calibri"/>
                <w:sz w:val="20"/>
                <w:szCs w:val="20"/>
              </w:rPr>
              <w:t>por tanto</w:t>
            </w:r>
            <w:r w:rsidR="36BE0E71" w:rsidRPr="36BE0E71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236E5C9B" w:rsidRPr="236E5C9B">
              <w:rPr>
                <w:rFonts w:ascii="Calibri" w:eastAsia="Calibri" w:hAnsi="Calibri" w:cs="Calibri"/>
                <w:sz w:val="20"/>
                <w:szCs w:val="20"/>
              </w:rPr>
              <w:t xml:space="preserve"> se recomienda no prestar a Mineros S</w:t>
            </w:r>
            <w:r w:rsidR="005F6523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236E5C9B" w:rsidRPr="236E5C9B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5F6523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236E5C9B" w:rsidRPr="236E5C9B">
              <w:rPr>
                <w:rFonts w:ascii="Calibri" w:eastAsia="Calibri" w:hAnsi="Calibri" w:cs="Calibri"/>
                <w:sz w:val="20"/>
                <w:szCs w:val="20"/>
              </w:rPr>
              <w:t xml:space="preserve"> a corto plazo</w:t>
            </w:r>
            <w:r w:rsidR="006B0BEE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742980" w:rsidRPr="00200610" w14:paraId="542B13AF" w14:textId="77777777" w:rsidTr="00735297">
        <w:trPr>
          <w:trHeight w:val="349"/>
        </w:trPr>
        <w:tc>
          <w:tcPr>
            <w:tcW w:w="5813" w:type="dxa"/>
            <w:gridSpan w:val="2"/>
            <w:vAlign w:val="center"/>
          </w:tcPr>
          <w:p w14:paraId="1B95FDEE" w14:textId="77777777" w:rsidR="00931ED6" w:rsidRPr="00931ED6" w:rsidRDefault="00931ED6" w:rsidP="00B127F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mallCaps/>
                <w:color w:val="000000"/>
                <w:lang w:val="en-US"/>
              </w:rPr>
            </w:pPr>
            <w:r w:rsidRPr="00931ED6">
              <w:rPr>
                <w:rFonts w:asciiTheme="minorHAnsi" w:hAnsiTheme="minorHAnsi" w:cs="Arial"/>
                <w:b/>
                <w:smallCaps/>
                <w:color w:val="000000"/>
                <w:lang w:val="en-US"/>
              </w:rPr>
              <w:t>Gráfica 1</w:t>
            </w:r>
          </w:p>
        </w:tc>
        <w:tc>
          <w:tcPr>
            <w:tcW w:w="5570" w:type="dxa"/>
            <w:gridSpan w:val="5"/>
            <w:vAlign w:val="center"/>
          </w:tcPr>
          <w:p w14:paraId="643B5B51" w14:textId="77777777" w:rsidR="00931ED6" w:rsidRPr="00931ED6" w:rsidRDefault="00931ED6" w:rsidP="00931ED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mallCaps/>
                <w:color w:val="000000"/>
                <w:lang w:val="en-US"/>
              </w:rPr>
            </w:pPr>
            <w:r w:rsidRPr="00931ED6">
              <w:rPr>
                <w:rFonts w:asciiTheme="minorHAnsi" w:hAnsiTheme="minorHAnsi" w:cs="Arial"/>
                <w:b/>
                <w:smallCaps/>
                <w:color w:val="000000"/>
                <w:lang w:val="en-US"/>
              </w:rPr>
              <w:t>Gráfica 2</w:t>
            </w:r>
          </w:p>
        </w:tc>
      </w:tr>
      <w:tr w:rsidR="00742980" w:rsidRPr="00742980" w14:paraId="17510A60" w14:textId="77777777" w:rsidTr="00735297">
        <w:trPr>
          <w:trHeight w:val="3455"/>
        </w:trPr>
        <w:tc>
          <w:tcPr>
            <w:tcW w:w="5813" w:type="dxa"/>
            <w:gridSpan w:val="2"/>
          </w:tcPr>
          <w:p w14:paraId="2F289D01" w14:textId="5380D08A" w:rsidR="00742980" w:rsidRPr="006D6253" w:rsidRDefault="001221DE" w:rsidP="00931ED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  <w:noProof/>
                <w:color w:val="000000"/>
              </w:rPr>
            </w:pPr>
            <w:r>
              <w:rPr>
                <w:rFonts w:asciiTheme="minorHAnsi" w:hAnsiTheme="minorHAnsi" w:cs="Arial"/>
                <w:b/>
                <w:noProof/>
                <w:color w:val="000000"/>
                <w:lang w:val="en-US" w:eastAsia="en-US"/>
              </w:rPr>
              <w:drawing>
                <wp:anchor distT="0" distB="0" distL="114300" distR="114300" simplePos="0" relativeHeight="251658243" behindDoc="1" locked="0" layoutInCell="1" allowOverlap="1" wp14:anchorId="1657EEA2" wp14:editId="65DD08E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65405</wp:posOffset>
                  </wp:positionV>
                  <wp:extent cx="3688715" cy="2039620"/>
                  <wp:effectExtent l="0" t="0" r="0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8715" cy="2039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2980" w:rsidRPr="00742980">
              <w:rPr>
                <w:rFonts w:asciiTheme="minorHAnsi" w:hAnsiTheme="minorHAnsi" w:cs="Arial"/>
                <w:b/>
                <w:color w:val="000000"/>
              </w:rPr>
              <w:t>Fu</w:t>
            </w:r>
            <w:r w:rsidR="00F4708A">
              <w:rPr>
                <w:rFonts w:asciiTheme="minorHAnsi" w:hAnsiTheme="minorHAnsi" w:cs="Arial"/>
                <w:b/>
                <w:color w:val="000000"/>
              </w:rPr>
              <w:t>en</w:t>
            </w:r>
            <w:r w:rsidR="00742980" w:rsidRPr="00742980">
              <w:rPr>
                <w:rFonts w:asciiTheme="minorHAnsi" w:hAnsiTheme="minorHAnsi" w:cs="Arial"/>
                <w:b/>
                <w:color w:val="000000"/>
              </w:rPr>
              <w:t>te</w:t>
            </w:r>
            <w:r w:rsidR="00742980" w:rsidRPr="00742980">
              <w:rPr>
                <w:rFonts w:asciiTheme="minorHAnsi" w:hAnsiTheme="minorHAnsi" w:cs="Arial"/>
                <w:color w:val="000000"/>
              </w:rPr>
              <w:t>: cifras de la empresa, elaboraci</w:t>
            </w:r>
            <w:r w:rsidR="00742980">
              <w:rPr>
                <w:rFonts w:asciiTheme="minorHAnsi" w:hAnsiTheme="minorHAnsi" w:cs="Arial"/>
                <w:color w:val="000000"/>
              </w:rPr>
              <w:t>ón propia</w:t>
            </w:r>
          </w:p>
        </w:tc>
        <w:tc>
          <w:tcPr>
            <w:tcW w:w="5570" w:type="dxa"/>
            <w:gridSpan w:val="5"/>
          </w:tcPr>
          <w:p w14:paraId="441BF7BE" w14:textId="77777777" w:rsidR="00931ED6" w:rsidRDefault="00931ED6" w:rsidP="00931ED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</w:p>
          <w:p w14:paraId="2C963B30" w14:textId="5D288F21" w:rsidR="00164366" w:rsidRDefault="003271EF" w:rsidP="00931ED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  <w:color w:val="000000"/>
              </w:rPr>
            </w:pPr>
            <w:r w:rsidRPr="00540A76">
              <w:rPr>
                <w:rFonts w:asciiTheme="minorHAnsi" w:hAnsiTheme="minorHAnsi" w:cs="Arial"/>
                <w:noProof/>
                <w:color w:val="000000"/>
                <w:lang w:val="en-US" w:eastAsia="en-US"/>
              </w:rPr>
              <w:drawing>
                <wp:inline distT="0" distB="0" distL="0" distR="0" wp14:anchorId="7807D4C7" wp14:editId="5F7AD6CB">
                  <wp:extent cx="3399790" cy="1740535"/>
                  <wp:effectExtent l="0" t="0" r="10160" b="12065"/>
                  <wp:docPr id="12" name="Gráfico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14:paraId="7FFC1FB1" w14:textId="366E2405" w:rsidR="003271EF" w:rsidRDefault="003271EF" w:rsidP="00931ED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  <w:color w:val="000000"/>
              </w:rPr>
            </w:pPr>
          </w:p>
          <w:p w14:paraId="0658CA2E" w14:textId="77777777" w:rsidR="00742980" w:rsidRPr="00742980" w:rsidRDefault="00742980" w:rsidP="00931ED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42980">
              <w:rPr>
                <w:rFonts w:asciiTheme="minorHAnsi" w:hAnsiTheme="minorHAnsi" w:cs="Arial"/>
                <w:b/>
                <w:color w:val="000000"/>
              </w:rPr>
              <w:t>Fuente</w:t>
            </w:r>
            <w:r w:rsidRPr="00742980">
              <w:rPr>
                <w:rFonts w:asciiTheme="minorHAnsi" w:hAnsiTheme="minorHAnsi" w:cs="Arial"/>
                <w:color w:val="000000"/>
              </w:rPr>
              <w:t>: cifras de la empresa, elaboraci</w:t>
            </w:r>
            <w:r>
              <w:rPr>
                <w:rFonts w:asciiTheme="minorHAnsi" w:hAnsiTheme="minorHAnsi" w:cs="Arial"/>
                <w:color w:val="000000"/>
              </w:rPr>
              <w:t>ón propia</w:t>
            </w:r>
          </w:p>
        </w:tc>
      </w:tr>
    </w:tbl>
    <w:p w14:paraId="1B07B92D" w14:textId="77777777" w:rsidR="00A23C52" w:rsidRPr="00742980" w:rsidRDefault="00A23C52" w:rsidP="00931ED6">
      <w:pPr>
        <w:jc w:val="both"/>
        <w:rPr>
          <w:rFonts w:asciiTheme="minorHAnsi" w:hAnsiTheme="minorHAnsi" w:cs="Arial"/>
        </w:rPr>
      </w:pPr>
    </w:p>
    <w:sectPr w:rsidR="00A23C52" w:rsidRPr="00742980" w:rsidSect="00427754">
      <w:headerReference w:type="default" r:id="rId12"/>
      <w:footerReference w:type="even" r:id="rId13"/>
      <w:footerReference w:type="default" r:id="rId14"/>
      <w:pgSz w:w="12240" w:h="15840"/>
      <w:pgMar w:top="1247" w:right="1797" w:bottom="1440" w:left="1797" w:header="113" w:footer="14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8CD46" w14:textId="77777777" w:rsidR="00C941B0" w:rsidRDefault="00C941B0">
      <w:r>
        <w:separator/>
      </w:r>
    </w:p>
  </w:endnote>
  <w:endnote w:type="continuationSeparator" w:id="0">
    <w:p w14:paraId="7D6249CE" w14:textId="77777777" w:rsidR="00C941B0" w:rsidRDefault="00C941B0">
      <w:r>
        <w:continuationSeparator/>
      </w:r>
    </w:p>
  </w:endnote>
  <w:endnote w:type="continuationNotice" w:id="1">
    <w:p w14:paraId="772599FF" w14:textId="77777777" w:rsidR="00C941B0" w:rsidRDefault="00C941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3AD7D" w14:textId="77777777" w:rsidR="00BC0873" w:rsidRDefault="00547511" w:rsidP="00416AB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087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235D17" w14:textId="77777777" w:rsidR="00BC0873" w:rsidRDefault="00BC0873" w:rsidP="000619C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636884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0"/>
      </w:rPr>
    </w:sdtEndPr>
    <w:sdtContent>
      <w:p w14:paraId="45411C75" w14:textId="1AB42AAE" w:rsidR="00931ED6" w:rsidRPr="00931ED6" w:rsidRDefault="00931ED6">
        <w:pPr>
          <w:pStyle w:val="Piedepgina"/>
          <w:jc w:val="right"/>
          <w:rPr>
            <w:rFonts w:asciiTheme="minorHAnsi" w:hAnsiTheme="minorHAnsi"/>
            <w:sz w:val="20"/>
          </w:rPr>
        </w:pPr>
        <w:r w:rsidRPr="00931ED6">
          <w:rPr>
            <w:rFonts w:asciiTheme="minorHAnsi" w:hAnsiTheme="minorHAnsi"/>
            <w:sz w:val="20"/>
          </w:rPr>
          <w:fldChar w:fldCharType="begin"/>
        </w:r>
        <w:r w:rsidRPr="00931ED6">
          <w:rPr>
            <w:rFonts w:asciiTheme="minorHAnsi" w:hAnsiTheme="minorHAnsi"/>
            <w:sz w:val="20"/>
          </w:rPr>
          <w:instrText xml:space="preserve"> PAGE   \* MERGEFORMAT </w:instrText>
        </w:r>
        <w:r w:rsidRPr="00931ED6">
          <w:rPr>
            <w:rFonts w:asciiTheme="minorHAnsi" w:hAnsiTheme="minorHAnsi"/>
            <w:sz w:val="20"/>
          </w:rPr>
          <w:fldChar w:fldCharType="separate"/>
        </w:r>
        <w:r w:rsidR="008A29B9">
          <w:rPr>
            <w:rFonts w:asciiTheme="minorHAnsi" w:hAnsiTheme="minorHAnsi"/>
            <w:noProof/>
            <w:sz w:val="20"/>
          </w:rPr>
          <w:t>1</w:t>
        </w:r>
        <w:r w:rsidRPr="00931ED6">
          <w:rPr>
            <w:rFonts w:asciiTheme="minorHAnsi" w:hAnsiTheme="minorHAnsi"/>
            <w:noProof/>
            <w:sz w:val="20"/>
          </w:rPr>
          <w:fldChar w:fldCharType="end"/>
        </w:r>
      </w:p>
    </w:sdtContent>
  </w:sdt>
  <w:p w14:paraId="6DEDA0D9" w14:textId="77777777" w:rsidR="00F807EC" w:rsidRPr="00E747EE" w:rsidRDefault="00F807EC">
    <w:pPr>
      <w:pStyle w:val="Piedepgina"/>
      <w:jc w:val="right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977EB" w14:textId="77777777" w:rsidR="00C941B0" w:rsidRDefault="00C941B0">
      <w:r>
        <w:separator/>
      </w:r>
    </w:p>
  </w:footnote>
  <w:footnote w:type="continuationSeparator" w:id="0">
    <w:p w14:paraId="48C0A674" w14:textId="77777777" w:rsidR="00C941B0" w:rsidRDefault="00C941B0">
      <w:r>
        <w:continuationSeparator/>
      </w:r>
    </w:p>
  </w:footnote>
  <w:footnote w:type="continuationNotice" w:id="1">
    <w:p w14:paraId="257E2DD6" w14:textId="77777777" w:rsidR="00C941B0" w:rsidRDefault="00C941B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F638B" w14:textId="77777777" w:rsidR="00BC0873" w:rsidRPr="00A571BE" w:rsidRDefault="00BC0873" w:rsidP="00185980">
    <w:pPr>
      <w:ind w:left="-1418"/>
      <w:jc w:val="both"/>
      <w:rPr>
        <w:rFonts w:ascii="Arial" w:hAnsi="Arial" w:cs="Arial"/>
      </w:rPr>
    </w:pPr>
    <w:bookmarkStart w:id="1" w:name="OLE_LINK1"/>
    <w:r w:rsidRPr="00A571BE">
      <w:rPr>
        <w:rFonts w:ascii="Arial" w:hAnsi="Arial" w:cs="Arial"/>
      </w:rPr>
      <w:t>Universidad Externado de Colombia</w:t>
    </w:r>
  </w:p>
  <w:p w14:paraId="28FA83EB" w14:textId="77777777" w:rsidR="00BC0873" w:rsidRPr="00A571BE" w:rsidRDefault="00BC0873" w:rsidP="00185980">
    <w:pPr>
      <w:ind w:left="-1418"/>
      <w:jc w:val="both"/>
      <w:rPr>
        <w:rFonts w:ascii="Arial" w:hAnsi="Arial" w:cs="Arial"/>
      </w:rPr>
    </w:pPr>
    <w:r w:rsidRPr="00A571BE">
      <w:rPr>
        <w:rFonts w:ascii="Arial" w:hAnsi="Arial" w:cs="Arial"/>
      </w:rPr>
      <w:t>Facultad de Finanzas Gobierno y Relaciones Internacionales</w:t>
    </w:r>
    <w:bookmarkEnd w:id="1"/>
  </w:p>
  <w:p w14:paraId="2DA39F98" w14:textId="77777777" w:rsidR="00390CBB" w:rsidRDefault="005416AF" w:rsidP="00185980">
    <w:pPr>
      <w:ind w:left="-1418"/>
      <w:jc w:val="both"/>
      <w:rPr>
        <w:rFonts w:ascii="Arial" w:hAnsi="Arial" w:cs="Arial"/>
      </w:rPr>
    </w:pPr>
    <w:r>
      <w:rPr>
        <w:rFonts w:ascii="Arial" w:hAnsi="Arial" w:cs="Arial"/>
      </w:rPr>
      <w:t xml:space="preserve">Programa </w:t>
    </w:r>
    <w:r w:rsidR="00390CBB">
      <w:rPr>
        <w:rFonts w:ascii="Arial" w:hAnsi="Arial" w:cs="Arial"/>
      </w:rPr>
      <w:t>en Finanzas y Relaciones Internacionales</w:t>
    </w:r>
  </w:p>
  <w:p w14:paraId="792E6029" w14:textId="77777777" w:rsidR="00CA0C8D" w:rsidRPr="00A571BE" w:rsidRDefault="008E02EE" w:rsidP="00185980">
    <w:pPr>
      <w:ind w:left="-1418"/>
      <w:jc w:val="both"/>
      <w:rPr>
        <w:rFonts w:ascii="Arial" w:hAnsi="Arial" w:cs="Arial"/>
      </w:rPr>
    </w:pPr>
    <w:r>
      <w:rPr>
        <w:rFonts w:ascii="Arial" w:hAnsi="Arial" w:cs="Arial"/>
      </w:rPr>
      <w:t>Análisis Financiero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6796"/>
    <w:multiLevelType w:val="hybridMultilevel"/>
    <w:tmpl w:val="247E648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1162E"/>
    <w:multiLevelType w:val="hybridMultilevel"/>
    <w:tmpl w:val="A7F036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61D6F"/>
    <w:multiLevelType w:val="hybridMultilevel"/>
    <w:tmpl w:val="E29282F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910EF"/>
    <w:multiLevelType w:val="hybridMultilevel"/>
    <w:tmpl w:val="4808BE42"/>
    <w:lvl w:ilvl="0" w:tplc="04E41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0F68014">
      <w:start w:val="1"/>
      <w:numFmt w:val="decimal"/>
      <w:lvlText w:val="%2."/>
      <w:lvlJc w:val="left"/>
      <w:pPr>
        <w:ind w:left="1440" w:hanging="360"/>
      </w:pPr>
      <w:rPr>
        <w:rFonts w:ascii="Century Gothic" w:eastAsia="Times New Roman" w:hAnsi="Century Gothic" w:cs="Arial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731B0"/>
    <w:multiLevelType w:val="hybridMultilevel"/>
    <w:tmpl w:val="94C610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801B5"/>
    <w:multiLevelType w:val="hybridMultilevel"/>
    <w:tmpl w:val="3FFADF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334B9"/>
    <w:multiLevelType w:val="hybridMultilevel"/>
    <w:tmpl w:val="BF6C1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05299"/>
    <w:multiLevelType w:val="hybridMultilevel"/>
    <w:tmpl w:val="A6E664D4"/>
    <w:lvl w:ilvl="0" w:tplc="E6EEB9B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B1EA7"/>
    <w:multiLevelType w:val="hybridMultilevel"/>
    <w:tmpl w:val="417EF2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86428"/>
    <w:multiLevelType w:val="hybridMultilevel"/>
    <w:tmpl w:val="E29282FE"/>
    <w:lvl w:ilvl="0" w:tplc="0C0A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06" w:hanging="360"/>
      </w:pPr>
    </w:lvl>
    <w:lvl w:ilvl="2" w:tplc="0C0A001B" w:tentative="1">
      <w:start w:val="1"/>
      <w:numFmt w:val="lowerRoman"/>
      <w:lvlText w:val="%3."/>
      <w:lvlJc w:val="right"/>
      <w:pPr>
        <w:ind w:left="1026" w:hanging="180"/>
      </w:pPr>
    </w:lvl>
    <w:lvl w:ilvl="3" w:tplc="0C0A000F" w:tentative="1">
      <w:start w:val="1"/>
      <w:numFmt w:val="decimal"/>
      <w:lvlText w:val="%4."/>
      <w:lvlJc w:val="left"/>
      <w:pPr>
        <w:ind w:left="1746" w:hanging="360"/>
      </w:pPr>
    </w:lvl>
    <w:lvl w:ilvl="4" w:tplc="0C0A0019" w:tentative="1">
      <w:start w:val="1"/>
      <w:numFmt w:val="lowerLetter"/>
      <w:lvlText w:val="%5."/>
      <w:lvlJc w:val="left"/>
      <w:pPr>
        <w:ind w:left="2466" w:hanging="360"/>
      </w:pPr>
    </w:lvl>
    <w:lvl w:ilvl="5" w:tplc="0C0A001B" w:tentative="1">
      <w:start w:val="1"/>
      <w:numFmt w:val="lowerRoman"/>
      <w:lvlText w:val="%6."/>
      <w:lvlJc w:val="right"/>
      <w:pPr>
        <w:ind w:left="3186" w:hanging="180"/>
      </w:pPr>
    </w:lvl>
    <w:lvl w:ilvl="6" w:tplc="0C0A000F" w:tentative="1">
      <w:start w:val="1"/>
      <w:numFmt w:val="decimal"/>
      <w:lvlText w:val="%7."/>
      <w:lvlJc w:val="left"/>
      <w:pPr>
        <w:ind w:left="3906" w:hanging="360"/>
      </w:pPr>
    </w:lvl>
    <w:lvl w:ilvl="7" w:tplc="0C0A0019" w:tentative="1">
      <w:start w:val="1"/>
      <w:numFmt w:val="lowerLetter"/>
      <w:lvlText w:val="%8."/>
      <w:lvlJc w:val="left"/>
      <w:pPr>
        <w:ind w:left="4626" w:hanging="360"/>
      </w:pPr>
    </w:lvl>
    <w:lvl w:ilvl="8" w:tplc="0C0A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0" w15:restartNumberingAfterBreak="0">
    <w:nsid w:val="2892175F"/>
    <w:multiLevelType w:val="hybridMultilevel"/>
    <w:tmpl w:val="84E60B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C32BB"/>
    <w:multiLevelType w:val="hybridMultilevel"/>
    <w:tmpl w:val="1316BB1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892D87"/>
    <w:multiLevelType w:val="hybridMultilevel"/>
    <w:tmpl w:val="7D9C42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C397C"/>
    <w:multiLevelType w:val="hybridMultilevel"/>
    <w:tmpl w:val="5ADC227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176F6"/>
    <w:multiLevelType w:val="hybridMultilevel"/>
    <w:tmpl w:val="D1FC26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A7830"/>
    <w:multiLevelType w:val="hybridMultilevel"/>
    <w:tmpl w:val="87509306"/>
    <w:lvl w:ilvl="0" w:tplc="24D4242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509F5"/>
    <w:multiLevelType w:val="hybridMultilevel"/>
    <w:tmpl w:val="2F6A6BA6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7CD7C55"/>
    <w:multiLevelType w:val="hybridMultilevel"/>
    <w:tmpl w:val="9F80895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026985"/>
    <w:multiLevelType w:val="hybridMultilevel"/>
    <w:tmpl w:val="B9B4AD0E"/>
    <w:lvl w:ilvl="0" w:tplc="69963E6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047D3"/>
    <w:multiLevelType w:val="hybridMultilevel"/>
    <w:tmpl w:val="51082F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C356B"/>
    <w:multiLevelType w:val="hybridMultilevel"/>
    <w:tmpl w:val="69DEF552"/>
    <w:lvl w:ilvl="0" w:tplc="A78659A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40D3320A"/>
    <w:multiLevelType w:val="hybridMultilevel"/>
    <w:tmpl w:val="BC3CDF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9E1D50"/>
    <w:multiLevelType w:val="hybridMultilevel"/>
    <w:tmpl w:val="E29282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F32CE"/>
    <w:multiLevelType w:val="hybridMultilevel"/>
    <w:tmpl w:val="A14A107E"/>
    <w:lvl w:ilvl="0" w:tplc="11761EBE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D4455D"/>
    <w:multiLevelType w:val="hybridMultilevel"/>
    <w:tmpl w:val="E29282F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F52EBC"/>
    <w:multiLevelType w:val="hybridMultilevel"/>
    <w:tmpl w:val="4B963D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B682A"/>
    <w:multiLevelType w:val="multilevel"/>
    <w:tmpl w:val="C6BA5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127D24"/>
    <w:multiLevelType w:val="hybridMultilevel"/>
    <w:tmpl w:val="4956C0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145D15"/>
    <w:multiLevelType w:val="hybridMultilevel"/>
    <w:tmpl w:val="8C68D8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93F11"/>
    <w:multiLevelType w:val="hybridMultilevel"/>
    <w:tmpl w:val="5036A766"/>
    <w:lvl w:ilvl="0" w:tplc="2BB2B2F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65454778"/>
    <w:multiLevelType w:val="hybridMultilevel"/>
    <w:tmpl w:val="378A1990"/>
    <w:lvl w:ilvl="0" w:tplc="240A000F">
      <w:start w:val="1"/>
      <w:numFmt w:val="decimal"/>
      <w:lvlText w:val="%1."/>
      <w:lvlJc w:val="left"/>
      <w:pPr>
        <w:ind w:left="1287" w:hanging="360"/>
      </w:pPr>
    </w:lvl>
    <w:lvl w:ilvl="1" w:tplc="240A0019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A396D68"/>
    <w:multiLevelType w:val="hybridMultilevel"/>
    <w:tmpl w:val="8936752A"/>
    <w:lvl w:ilvl="0" w:tplc="04E41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5E53EE"/>
    <w:multiLevelType w:val="hybridMultilevel"/>
    <w:tmpl w:val="2B941D9A"/>
    <w:lvl w:ilvl="0" w:tplc="69963E6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653C2D"/>
    <w:multiLevelType w:val="hybridMultilevel"/>
    <w:tmpl w:val="3A702DFA"/>
    <w:lvl w:ilvl="0" w:tplc="8ABA9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636034"/>
    <w:multiLevelType w:val="hybridMultilevel"/>
    <w:tmpl w:val="AA9CBBA2"/>
    <w:lvl w:ilvl="0" w:tplc="69963E6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8C0A66"/>
    <w:multiLevelType w:val="hybridMultilevel"/>
    <w:tmpl w:val="3A702DFA"/>
    <w:lvl w:ilvl="0" w:tplc="8ABA9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F12589"/>
    <w:multiLevelType w:val="hybridMultilevel"/>
    <w:tmpl w:val="6BCAADB2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4"/>
  </w:num>
  <w:num w:numId="3">
    <w:abstractNumId w:val="32"/>
  </w:num>
  <w:num w:numId="4">
    <w:abstractNumId w:val="27"/>
  </w:num>
  <w:num w:numId="5">
    <w:abstractNumId w:val="18"/>
  </w:num>
  <w:num w:numId="6">
    <w:abstractNumId w:val="21"/>
  </w:num>
  <w:num w:numId="7">
    <w:abstractNumId w:val="26"/>
  </w:num>
  <w:num w:numId="8">
    <w:abstractNumId w:val="23"/>
  </w:num>
  <w:num w:numId="9">
    <w:abstractNumId w:val="4"/>
  </w:num>
  <w:num w:numId="10">
    <w:abstractNumId w:val="17"/>
  </w:num>
  <w:num w:numId="11">
    <w:abstractNumId w:val="35"/>
  </w:num>
  <w:num w:numId="12">
    <w:abstractNumId w:val="11"/>
  </w:num>
  <w:num w:numId="13">
    <w:abstractNumId w:val="33"/>
  </w:num>
  <w:num w:numId="14">
    <w:abstractNumId w:val="0"/>
  </w:num>
  <w:num w:numId="15">
    <w:abstractNumId w:val="13"/>
  </w:num>
  <w:num w:numId="16">
    <w:abstractNumId w:val="30"/>
  </w:num>
  <w:num w:numId="17">
    <w:abstractNumId w:val="20"/>
  </w:num>
  <w:num w:numId="18">
    <w:abstractNumId w:val="29"/>
  </w:num>
  <w:num w:numId="19">
    <w:abstractNumId w:val="24"/>
  </w:num>
  <w:num w:numId="20">
    <w:abstractNumId w:val="22"/>
  </w:num>
  <w:num w:numId="21">
    <w:abstractNumId w:val="9"/>
  </w:num>
  <w:num w:numId="22">
    <w:abstractNumId w:val="1"/>
  </w:num>
  <w:num w:numId="23">
    <w:abstractNumId w:val="12"/>
  </w:num>
  <w:num w:numId="24">
    <w:abstractNumId w:val="10"/>
  </w:num>
  <w:num w:numId="25">
    <w:abstractNumId w:val="31"/>
  </w:num>
  <w:num w:numId="26">
    <w:abstractNumId w:val="15"/>
  </w:num>
  <w:num w:numId="27">
    <w:abstractNumId w:val="36"/>
  </w:num>
  <w:num w:numId="28">
    <w:abstractNumId w:val="19"/>
  </w:num>
  <w:num w:numId="29">
    <w:abstractNumId w:val="8"/>
  </w:num>
  <w:num w:numId="30">
    <w:abstractNumId w:val="25"/>
  </w:num>
  <w:num w:numId="31">
    <w:abstractNumId w:val="3"/>
  </w:num>
  <w:num w:numId="32">
    <w:abstractNumId w:val="2"/>
  </w:num>
  <w:num w:numId="33">
    <w:abstractNumId w:val="16"/>
  </w:num>
  <w:num w:numId="34">
    <w:abstractNumId w:val="6"/>
  </w:num>
  <w:num w:numId="35">
    <w:abstractNumId w:val="14"/>
  </w:num>
  <w:num w:numId="36">
    <w:abstractNumId w:val="7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es-CO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F"/>
    <w:rsid w:val="000001BF"/>
    <w:rsid w:val="00000916"/>
    <w:rsid w:val="00004620"/>
    <w:rsid w:val="000052C7"/>
    <w:rsid w:val="00006A9F"/>
    <w:rsid w:val="000076A9"/>
    <w:rsid w:val="00010417"/>
    <w:rsid w:val="00010BFB"/>
    <w:rsid w:val="00010C4C"/>
    <w:rsid w:val="00012F5D"/>
    <w:rsid w:val="000203FD"/>
    <w:rsid w:val="000217EF"/>
    <w:rsid w:val="00021A5B"/>
    <w:rsid w:val="00022901"/>
    <w:rsid w:val="00022E06"/>
    <w:rsid w:val="0002374B"/>
    <w:rsid w:val="0002426F"/>
    <w:rsid w:val="0002504F"/>
    <w:rsid w:val="000278EA"/>
    <w:rsid w:val="00031E6D"/>
    <w:rsid w:val="000354F3"/>
    <w:rsid w:val="000358F6"/>
    <w:rsid w:val="00037CB7"/>
    <w:rsid w:val="00043F4D"/>
    <w:rsid w:val="000514AA"/>
    <w:rsid w:val="00052375"/>
    <w:rsid w:val="00052C3E"/>
    <w:rsid w:val="000619C4"/>
    <w:rsid w:val="00065020"/>
    <w:rsid w:val="00065598"/>
    <w:rsid w:val="00065A72"/>
    <w:rsid w:val="00067D2C"/>
    <w:rsid w:val="00077595"/>
    <w:rsid w:val="000800AE"/>
    <w:rsid w:val="00083B40"/>
    <w:rsid w:val="000904CF"/>
    <w:rsid w:val="000924B0"/>
    <w:rsid w:val="000924D0"/>
    <w:rsid w:val="000927AD"/>
    <w:rsid w:val="00092C1E"/>
    <w:rsid w:val="000A09AF"/>
    <w:rsid w:val="000A0AA6"/>
    <w:rsid w:val="000A120B"/>
    <w:rsid w:val="000A597D"/>
    <w:rsid w:val="000A798E"/>
    <w:rsid w:val="000B057D"/>
    <w:rsid w:val="000B2151"/>
    <w:rsid w:val="000B39A5"/>
    <w:rsid w:val="000B5A85"/>
    <w:rsid w:val="000B69CF"/>
    <w:rsid w:val="000B70E7"/>
    <w:rsid w:val="000B7F29"/>
    <w:rsid w:val="000C0B89"/>
    <w:rsid w:val="000C62BF"/>
    <w:rsid w:val="000C7FF5"/>
    <w:rsid w:val="000D312F"/>
    <w:rsid w:val="000D47EC"/>
    <w:rsid w:val="000D4880"/>
    <w:rsid w:val="000D52E8"/>
    <w:rsid w:val="000D72B4"/>
    <w:rsid w:val="000E1650"/>
    <w:rsid w:val="000E553F"/>
    <w:rsid w:val="000E6143"/>
    <w:rsid w:val="000E6233"/>
    <w:rsid w:val="000F01A8"/>
    <w:rsid w:val="000F0E28"/>
    <w:rsid w:val="000F3B7B"/>
    <w:rsid w:val="000F7443"/>
    <w:rsid w:val="001010CB"/>
    <w:rsid w:val="00101796"/>
    <w:rsid w:val="00105BF0"/>
    <w:rsid w:val="001105DA"/>
    <w:rsid w:val="00110C1C"/>
    <w:rsid w:val="001143F7"/>
    <w:rsid w:val="00116CD1"/>
    <w:rsid w:val="00117936"/>
    <w:rsid w:val="00120184"/>
    <w:rsid w:val="0012136B"/>
    <w:rsid w:val="001221DE"/>
    <w:rsid w:val="00123E35"/>
    <w:rsid w:val="001252CF"/>
    <w:rsid w:val="001301E9"/>
    <w:rsid w:val="00130640"/>
    <w:rsid w:val="00130840"/>
    <w:rsid w:val="0013382F"/>
    <w:rsid w:val="00134628"/>
    <w:rsid w:val="00136118"/>
    <w:rsid w:val="00140526"/>
    <w:rsid w:val="001407A1"/>
    <w:rsid w:val="001416AE"/>
    <w:rsid w:val="00144E32"/>
    <w:rsid w:val="00145325"/>
    <w:rsid w:val="001468EA"/>
    <w:rsid w:val="00157151"/>
    <w:rsid w:val="001608DC"/>
    <w:rsid w:val="00161306"/>
    <w:rsid w:val="00161A96"/>
    <w:rsid w:val="00164366"/>
    <w:rsid w:val="00170BFC"/>
    <w:rsid w:val="00171A38"/>
    <w:rsid w:val="001727FD"/>
    <w:rsid w:val="001773ED"/>
    <w:rsid w:val="001779A0"/>
    <w:rsid w:val="00181781"/>
    <w:rsid w:val="00181D49"/>
    <w:rsid w:val="00185980"/>
    <w:rsid w:val="00186C62"/>
    <w:rsid w:val="001921EF"/>
    <w:rsid w:val="001A20A3"/>
    <w:rsid w:val="001A2457"/>
    <w:rsid w:val="001A7198"/>
    <w:rsid w:val="001B0510"/>
    <w:rsid w:val="001B07DC"/>
    <w:rsid w:val="001B28FA"/>
    <w:rsid w:val="001B2B1A"/>
    <w:rsid w:val="001B6E94"/>
    <w:rsid w:val="001C3BCB"/>
    <w:rsid w:val="001C445C"/>
    <w:rsid w:val="001C7E1F"/>
    <w:rsid w:val="001D0646"/>
    <w:rsid w:val="001D11FA"/>
    <w:rsid w:val="001D18DE"/>
    <w:rsid w:val="001D1B44"/>
    <w:rsid w:val="001D5CBD"/>
    <w:rsid w:val="001D64FA"/>
    <w:rsid w:val="001D7062"/>
    <w:rsid w:val="001E12AA"/>
    <w:rsid w:val="001E1ABF"/>
    <w:rsid w:val="001E1DE6"/>
    <w:rsid w:val="001E606E"/>
    <w:rsid w:val="001E6457"/>
    <w:rsid w:val="001F1D48"/>
    <w:rsid w:val="001F1EEE"/>
    <w:rsid w:val="00200437"/>
    <w:rsid w:val="00200610"/>
    <w:rsid w:val="00204C7D"/>
    <w:rsid w:val="0020711A"/>
    <w:rsid w:val="002103A7"/>
    <w:rsid w:val="00215DE2"/>
    <w:rsid w:val="002173F9"/>
    <w:rsid w:val="00220F5A"/>
    <w:rsid w:val="00221425"/>
    <w:rsid w:val="00222B96"/>
    <w:rsid w:val="0022648E"/>
    <w:rsid w:val="002317C3"/>
    <w:rsid w:val="00235AF3"/>
    <w:rsid w:val="00241522"/>
    <w:rsid w:val="00242F4D"/>
    <w:rsid w:val="00244AF9"/>
    <w:rsid w:val="0024563E"/>
    <w:rsid w:val="002470FE"/>
    <w:rsid w:val="002501E1"/>
    <w:rsid w:val="002506F4"/>
    <w:rsid w:val="00253273"/>
    <w:rsid w:val="00256AB1"/>
    <w:rsid w:val="002600D1"/>
    <w:rsid w:val="00263392"/>
    <w:rsid w:val="002645E0"/>
    <w:rsid w:val="00264AD7"/>
    <w:rsid w:val="00265F0A"/>
    <w:rsid w:val="002675B3"/>
    <w:rsid w:val="00272407"/>
    <w:rsid w:val="00285F6F"/>
    <w:rsid w:val="00287DC8"/>
    <w:rsid w:val="00287F40"/>
    <w:rsid w:val="0029209E"/>
    <w:rsid w:val="00292DE5"/>
    <w:rsid w:val="002A27F4"/>
    <w:rsid w:val="002A35DA"/>
    <w:rsid w:val="002A5E91"/>
    <w:rsid w:val="002A5F31"/>
    <w:rsid w:val="002B3268"/>
    <w:rsid w:val="002B5F70"/>
    <w:rsid w:val="002C0BB1"/>
    <w:rsid w:val="002C50AA"/>
    <w:rsid w:val="002D496A"/>
    <w:rsid w:val="002E0601"/>
    <w:rsid w:val="002E397D"/>
    <w:rsid w:val="002E3DFD"/>
    <w:rsid w:val="002E59E6"/>
    <w:rsid w:val="002E673E"/>
    <w:rsid w:val="002E69FB"/>
    <w:rsid w:val="002F0B10"/>
    <w:rsid w:val="002F0CF7"/>
    <w:rsid w:val="002F3B99"/>
    <w:rsid w:val="002F3BF7"/>
    <w:rsid w:val="003001BC"/>
    <w:rsid w:val="00302A4F"/>
    <w:rsid w:val="00304B41"/>
    <w:rsid w:val="0030795B"/>
    <w:rsid w:val="003079B8"/>
    <w:rsid w:val="003106BC"/>
    <w:rsid w:val="00312EE4"/>
    <w:rsid w:val="00314F9B"/>
    <w:rsid w:val="00315470"/>
    <w:rsid w:val="00315FCC"/>
    <w:rsid w:val="0031656E"/>
    <w:rsid w:val="00320458"/>
    <w:rsid w:val="00320901"/>
    <w:rsid w:val="00321B7D"/>
    <w:rsid w:val="00321BCB"/>
    <w:rsid w:val="00321DFC"/>
    <w:rsid w:val="00322667"/>
    <w:rsid w:val="00324897"/>
    <w:rsid w:val="00324D68"/>
    <w:rsid w:val="00326533"/>
    <w:rsid w:val="003271EF"/>
    <w:rsid w:val="00332364"/>
    <w:rsid w:val="00335C4B"/>
    <w:rsid w:val="003401EA"/>
    <w:rsid w:val="0034779B"/>
    <w:rsid w:val="00350E22"/>
    <w:rsid w:val="00353B2C"/>
    <w:rsid w:val="00354C86"/>
    <w:rsid w:val="003561BB"/>
    <w:rsid w:val="003609BC"/>
    <w:rsid w:val="003620E2"/>
    <w:rsid w:val="00362B86"/>
    <w:rsid w:val="00366A14"/>
    <w:rsid w:val="00371700"/>
    <w:rsid w:val="00372616"/>
    <w:rsid w:val="003729BD"/>
    <w:rsid w:val="00372C3E"/>
    <w:rsid w:val="00373AAC"/>
    <w:rsid w:val="00374019"/>
    <w:rsid w:val="003761C8"/>
    <w:rsid w:val="00376721"/>
    <w:rsid w:val="00386447"/>
    <w:rsid w:val="00390CBB"/>
    <w:rsid w:val="003927CB"/>
    <w:rsid w:val="0039316A"/>
    <w:rsid w:val="00394C06"/>
    <w:rsid w:val="003A09FC"/>
    <w:rsid w:val="003A32CB"/>
    <w:rsid w:val="003A40D3"/>
    <w:rsid w:val="003A5CA9"/>
    <w:rsid w:val="003A7D99"/>
    <w:rsid w:val="003B1BC6"/>
    <w:rsid w:val="003B24E6"/>
    <w:rsid w:val="003B7427"/>
    <w:rsid w:val="003B7862"/>
    <w:rsid w:val="003C1551"/>
    <w:rsid w:val="003C37C7"/>
    <w:rsid w:val="003C3DB4"/>
    <w:rsid w:val="003C405D"/>
    <w:rsid w:val="003C5ABA"/>
    <w:rsid w:val="003C6807"/>
    <w:rsid w:val="003D0550"/>
    <w:rsid w:val="003D0BE4"/>
    <w:rsid w:val="003D16D7"/>
    <w:rsid w:val="003D3D98"/>
    <w:rsid w:val="003E4268"/>
    <w:rsid w:val="003E4413"/>
    <w:rsid w:val="003E6092"/>
    <w:rsid w:val="003F2375"/>
    <w:rsid w:val="003F24F5"/>
    <w:rsid w:val="003F25CA"/>
    <w:rsid w:val="003F2F05"/>
    <w:rsid w:val="003F378E"/>
    <w:rsid w:val="003F4235"/>
    <w:rsid w:val="003F650C"/>
    <w:rsid w:val="003F6FD4"/>
    <w:rsid w:val="00402BF4"/>
    <w:rsid w:val="004043FA"/>
    <w:rsid w:val="00404D85"/>
    <w:rsid w:val="0040600C"/>
    <w:rsid w:val="00407302"/>
    <w:rsid w:val="004078DE"/>
    <w:rsid w:val="00410DAD"/>
    <w:rsid w:val="004152D2"/>
    <w:rsid w:val="00415C1F"/>
    <w:rsid w:val="00416ABC"/>
    <w:rsid w:val="00427754"/>
    <w:rsid w:val="00427911"/>
    <w:rsid w:val="00430947"/>
    <w:rsid w:val="00430CA9"/>
    <w:rsid w:val="00431D72"/>
    <w:rsid w:val="00432D71"/>
    <w:rsid w:val="0043366B"/>
    <w:rsid w:val="004377B9"/>
    <w:rsid w:val="00437F51"/>
    <w:rsid w:val="00442DE8"/>
    <w:rsid w:val="0044417C"/>
    <w:rsid w:val="00445D9B"/>
    <w:rsid w:val="00446570"/>
    <w:rsid w:val="00450303"/>
    <w:rsid w:val="004544CC"/>
    <w:rsid w:val="0045592C"/>
    <w:rsid w:val="004562B6"/>
    <w:rsid w:val="004610B7"/>
    <w:rsid w:val="00464F11"/>
    <w:rsid w:val="00470917"/>
    <w:rsid w:val="00471CC8"/>
    <w:rsid w:val="0047675C"/>
    <w:rsid w:val="0047749C"/>
    <w:rsid w:val="00485AE8"/>
    <w:rsid w:val="00492E5E"/>
    <w:rsid w:val="00493DC4"/>
    <w:rsid w:val="0049518D"/>
    <w:rsid w:val="00496E3C"/>
    <w:rsid w:val="004A0471"/>
    <w:rsid w:val="004A31D2"/>
    <w:rsid w:val="004A5711"/>
    <w:rsid w:val="004A6ED6"/>
    <w:rsid w:val="004B0870"/>
    <w:rsid w:val="004B0B61"/>
    <w:rsid w:val="004B286A"/>
    <w:rsid w:val="004B3B70"/>
    <w:rsid w:val="004B710C"/>
    <w:rsid w:val="004B72BC"/>
    <w:rsid w:val="004B7CB9"/>
    <w:rsid w:val="004C0A26"/>
    <w:rsid w:val="004C2A7F"/>
    <w:rsid w:val="004C5B36"/>
    <w:rsid w:val="004C76A2"/>
    <w:rsid w:val="004D0EBD"/>
    <w:rsid w:val="004D2152"/>
    <w:rsid w:val="004D3AB7"/>
    <w:rsid w:val="004D4356"/>
    <w:rsid w:val="004D515D"/>
    <w:rsid w:val="004D5957"/>
    <w:rsid w:val="004E22B6"/>
    <w:rsid w:val="004E52AD"/>
    <w:rsid w:val="004F15DE"/>
    <w:rsid w:val="004F2F30"/>
    <w:rsid w:val="004F3405"/>
    <w:rsid w:val="00500863"/>
    <w:rsid w:val="00505B72"/>
    <w:rsid w:val="00512FA7"/>
    <w:rsid w:val="005146A2"/>
    <w:rsid w:val="005151BD"/>
    <w:rsid w:val="00520CD0"/>
    <w:rsid w:val="00523DF9"/>
    <w:rsid w:val="0052460A"/>
    <w:rsid w:val="00525840"/>
    <w:rsid w:val="005264A6"/>
    <w:rsid w:val="005301FC"/>
    <w:rsid w:val="00535EFA"/>
    <w:rsid w:val="00537EF4"/>
    <w:rsid w:val="005401C5"/>
    <w:rsid w:val="00540A76"/>
    <w:rsid w:val="005416AF"/>
    <w:rsid w:val="00547511"/>
    <w:rsid w:val="005525F2"/>
    <w:rsid w:val="00553512"/>
    <w:rsid w:val="005570B1"/>
    <w:rsid w:val="005644A4"/>
    <w:rsid w:val="00564A3A"/>
    <w:rsid w:val="005667F0"/>
    <w:rsid w:val="00567352"/>
    <w:rsid w:val="005710E3"/>
    <w:rsid w:val="00571E95"/>
    <w:rsid w:val="00571FB0"/>
    <w:rsid w:val="00576140"/>
    <w:rsid w:val="00577E1E"/>
    <w:rsid w:val="0058125C"/>
    <w:rsid w:val="005830B3"/>
    <w:rsid w:val="00584B40"/>
    <w:rsid w:val="00584C43"/>
    <w:rsid w:val="00584F75"/>
    <w:rsid w:val="00585B28"/>
    <w:rsid w:val="00585BDD"/>
    <w:rsid w:val="0059075B"/>
    <w:rsid w:val="00590FAF"/>
    <w:rsid w:val="0059218E"/>
    <w:rsid w:val="00592A58"/>
    <w:rsid w:val="0059387D"/>
    <w:rsid w:val="00595EB3"/>
    <w:rsid w:val="005A1949"/>
    <w:rsid w:val="005A2598"/>
    <w:rsid w:val="005A3837"/>
    <w:rsid w:val="005A403A"/>
    <w:rsid w:val="005A417A"/>
    <w:rsid w:val="005B65A7"/>
    <w:rsid w:val="005C686F"/>
    <w:rsid w:val="005D0C85"/>
    <w:rsid w:val="005D0EEB"/>
    <w:rsid w:val="005E2D96"/>
    <w:rsid w:val="005E32D9"/>
    <w:rsid w:val="005E3DDE"/>
    <w:rsid w:val="005F0AB0"/>
    <w:rsid w:val="005F17D1"/>
    <w:rsid w:val="005F6523"/>
    <w:rsid w:val="005F7445"/>
    <w:rsid w:val="005F7F27"/>
    <w:rsid w:val="00600011"/>
    <w:rsid w:val="00600146"/>
    <w:rsid w:val="00601170"/>
    <w:rsid w:val="00604857"/>
    <w:rsid w:val="00605CDF"/>
    <w:rsid w:val="00610A2A"/>
    <w:rsid w:val="00614178"/>
    <w:rsid w:val="00614BBB"/>
    <w:rsid w:val="0061630B"/>
    <w:rsid w:val="00616398"/>
    <w:rsid w:val="0062148D"/>
    <w:rsid w:val="00622CEF"/>
    <w:rsid w:val="006230E0"/>
    <w:rsid w:val="006303C7"/>
    <w:rsid w:val="00630FFE"/>
    <w:rsid w:val="00634BB9"/>
    <w:rsid w:val="006471EA"/>
    <w:rsid w:val="006521B6"/>
    <w:rsid w:val="0066056A"/>
    <w:rsid w:val="0066169C"/>
    <w:rsid w:val="006632A2"/>
    <w:rsid w:val="00666840"/>
    <w:rsid w:val="00666C20"/>
    <w:rsid w:val="0066750A"/>
    <w:rsid w:val="0067170A"/>
    <w:rsid w:val="0067178F"/>
    <w:rsid w:val="006717DE"/>
    <w:rsid w:val="00674710"/>
    <w:rsid w:val="00681611"/>
    <w:rsid w:val="006817DB"/>
    <w:rsid w:val="00685D7D"/>
    <w:rsid w:val="0068651C"/>
    <w:rsid w:val="006931E1"/>
    <w:rsid w:val="0069449D"/>
    <w:rsid w:val="00695ADE"/>
    <w:rsid w:val="006A48CC"/>
    <w:rsid w:val="006A69AA"/>
    <w:rsid w:val="006A6BC8"/>
    <w:rsid w:val="006A6D58"/>
    <w:rsid w:val="006B0BEE"/>
    <w:rsid w:val="006B32CB"/>
    <w:rsid w:val="006B4ECD"/>
    <w:rsid w:val="006B7BB1"/>
    <w:rsid w:val="006C5EF1"/>
    <w:rsid w:val="006D6253"/>
    <w:rsid w:val="006D79A5"/>
    <w:rsid w:val="006E1C19"/>
    <w:rsid w:val="006E7D41"/>
    <w:rsid w:val="006F0E08"/>
    <w:rsid w:val="006F1347"/>
    <w:rsid w:val="006F22B1"/>
    <w:rsid w:val="006F4BD9"/>
    <w:rsid w:val="006F53CF"/>
    <w:rsid w:val="00706924"/>
    <w:rsid w:val="007126DF"/>
    <w:rsid w:val="00716040"/>
    <w:rsid w:val="007160C9"/>
    <w:rsid w:val="00716E91"/>
    <w:rsid w:val="007175DC"/>
    <w:rsid w:val="007208BF"/>
    <w:rsid w:val="00720AC8"/>
    <w:rsid w:val="00726BEE"/>
    <w:rsid w:val="00726F4C"/>
    <w:rsid w:val="00731E01"/>
    <w:rsid w:val="00732C8E"/>
    <w:rsid w:val="00735297"/>
    <w:rsid w:val="00735492"/>
    <w:rsid w:val="00740BC3"/>
    <w:rsid w:val="00742980"/>
    <w:rsid w:val="00742F0E"/>
    <w:rsid w:val="00743947"/>
    <w:rsid w:val="00744700"/>
    <w:rsid w:val="00747CD7"/>
    <w:rsid w:val="00747FB1"/>
    <w:rsid w:val="0075166C"/>
    <w:rsid w:val="00754433"/>
    <w:rsid w:val="00754E6D"/>
    <w:rsid w:val="00755817"/>
    <w:rsid w:val="00755D2B"/>
    <w:rsid w:val="00757952"/>
    <w:rsid w:val="00760D0D"/>
    <w:rsid w:val="007617C3"/>
    <w:rsid w:val="0076220E"/>
    <w:rsid w:val="00764728"/>
    <w:rsid w:val="00765C71"/>
    <w:rsid w:val="007669C1"/>
    <w:rsid w:val="00766A57"/>
    <w:rsid w:val="00767373"/>
    <w:rsid w:val="00770776"/>
    <w:rsid w:val="00772403"/>
    <w:rsid w:val="007762FA"/>
    <w:rsid w:val="007777D9"/>
    <w:rsid w:val="0078411F"/>
    <w:rsid w:val="0079554E"/>
    <w:rsid w:val="00797EED"/>
    <w:rsid w:val="007A4856"/>
    <w:rsid w:val="007A5362"/>
    <w:rsid w:val="007A5B36"/>
    <w:rsid w:val="007B15FB"/>
    <w:rsid w:val="007B34CE"/>
    <w:rsid w:val="007B3F73"/>
    <w:rsid w:val="007B753A"/>
    <w:rsid w:val="007B7D6F"/>
    <w:rsid w:val="007C14DF"/>
    <w:rsid w:val="007C1819"/>
    <w:rsid w:val="007C41F2"/>
    <w:rsid w:val="007C4A08"/>
    <w:rsid w:val="007C4E5C"/>
    <w:rsid w:val="007C78AF"/>
    <w:rsid w:val="007D2B86"/>
    <w:rsid w:val="007D6CFE"/>
    <w:rsid w:val="007E1581"/>
    <w:rsid w:val="007E5796"/>
    <w:rsid w:val="007F251A"/>
    <w:rsid w:val="007F3E67"/>
    <w:rsid w:val="007F5249"/>
    <w:rsid w:val="007F6CAE"/>
    <w:rsid w:val="007F70FB"/>
    <w:rsid w:val="008018E1"/>
    <w:rsid w:val="008020B0"/>
    <w:rsid w:val="008038C7"/>
    <w:rsid w:val="008049A8"/>
    <w:rsid w:val="0080573A"/>
    <w:rsid w:val="008110F1"/>
    <w:rsid w:val="00811CA1"/>
    <w:rsid w:val="00812A2E"/>
    <w:rsid w:val="00815093"/>
    <w:rsid w:val="008159D8"/>
    <w:rsid w:val="00815BDD"/>
    <w:rsid w:val="00837A25"/>
    <w:rsid w:val="00843F7F"/>
    <w:rsid w:val="008464AF"/>
    <w:rsid w:val="00847316"/>
    <w:rsid w:val="00850888"/>
    <w:rsid w:val="00852DF1"/>
    <w:rsid w:val="008547E0"/>
    <w:rsid w:val="00861658"/>
    <w:rsid w:val="00861BA0"/>
    <w:rsid w:val="0086222D"/>
    <w:rsid w:val="0087466C"/>
    <w:rsid w:val="00875084"/>
    <w:rsid w:val="00881376"/>
    <w:rsid w:val="00884981"/>
    <w:rsid w:val="00884C28"/>
    <w:rsid w:val="00891BA1"/>
    <w:rsid w:val="008966E2"/>
    <w:rsid w:val="008A10DC"/>
    <w:rsid w:val="008A29B9"/>
    <w:rsid w:val="008A33F4"/>
    <w:rsid w:val="008A54D8"/>
    <w:rsid w:val="008A6436"/>
    <w:rsid w:val="008B1177"/>
    <w:rsid w:val="008B6FD3"/>
    <w:rsid w:val="008C077B"/>
    <w:rsid w:val="008C219F"/>
    <w:rsid w:val="008C3852"/>
    <w:rsid w:val="008C3B22"/>
    <w:rsid w:val="008C7A5A"/>
    <w:rsid w:val="008D29E6"/>
    <w:rsid w:val="008D376E"/>
    <w:rsid w:val="008D3FAD"/>
    <w:rsid w:val="008D64AE"/>
    <w:rsid w:val="008E02EE"/>
    <w:rsid w:val="008E1462"/>
    <w:rsid w:val="008E14B4"/>
    <w:rsid w:val="008E4659"/>
    <w:rsid w:val="008E5B1E"/>
    <w:rsid w:val="008E666C"/>
    <w:rsid w:val="008E7F56"/>
    <w:rsid w:val="008F0049"/>
    <w:rsid w:val="008F3A15"/>
    <w:rsid w:val="008F662B"/>
    <w:rsid w:val="0090321D"/>
    <w:rsid w:val="009034C8"/>
    <w:rsid w:val="00904FCE"/>
    <w:rsid w:val="00905247"/>
    <w:rsid w:val="00905CD6"/>
    <w:rsid w:val="00906B5C"/>
    <w:rsid w:val="0092025E"/>
    <w:rsid w:val="00920B7E"/>
    <w:rsid w:val="00925D19"/>
    <w:rsid w:val="00925FDC"/>
    <w:rsid w:val="00930D0E"/>
    <w:rsid w:val="00931ED6"/>
    <w:rsid w:val="00933271"/>
    <w:rsid w:val="00933E66"/>
    <w:rsid w:val="00941F45"/>
    <w:rsid w:val="009420A7"/>
    <w:rsid w:val="009442A4"/>
    <w:rsid w:val="009508C2"/>
    <w:rsid w:val="00951814"/>
    <w:rsid w:val="00957740"/>
    <w:rsid w:val="0095776C"/>
    <w:rsid w:val="0096077E"/>
    <w:rsid w:val="00960D3B"/>
    <w:rsid w:val="00962C6B"/>
    <w:rsid w:val="00963FCF"/>
    <w:rsid w:val="009710AE"/>
    <w:rsid w:val="009711BA"/>
    <w:rsid w:val="009758A6"/>
    <w:rsid w:val="009822F7"/>
    <w:rsid w:val="009838A9"/>
    <w:rsid w:val="00984649"/>
    <w:rsid w:val="00985AC3"/>
    <w:rsid w:val="0099011A"/>
    <w:rsid w:val="00991DF8"/>
    <w:rsid w:val="0099361C"/>
    <w:rsid w:val="00993923"/>
    <w:rsid w:val="00993B54"/>
    <w:rsid w:val="009A2C10"/>
    <w:rsid w:val="009A4C86"/>
    <w:rsid w:val="009A7A0C"/>
    <w:rsid w:val="009B13A9"/>
    <w:rsid w:val="009B1AF5"/>
    <w:rsid w:val="009B20B9"/>
    <w:rsid w:val="009B5FEE"/>
    <w:rsid w:val="009B6344"/>
    <w:rsid w:val="009C1107"/>
    <w:rsid w:val="009C1EDF"/>
    <w:rsid w:val="009C3961"/>
    <w:rsid w:val="009D0402"/>
    <w:rsid w:val="009E5327"/>
    <w:rsid w:val="009F14E6"/>
    <w:rsid w:val="009F3D9B"/>
    <w:rsid w:val="009F4CC7"/>
    <w:rsid w:val="009F707C"/>
    <w:rsid w:val="00A0382E"/>
    <w:rsid w:val="00A055BA"/>
    <w:rsid w:val="00A0662D"/>
    <w:rsid w:val="00A22638"/>
    <w:rsid w:val="00A22A52"/>
    <w:rsid w:val="00A22F01"/>
    <w:rsid w:val="00A23C52"/>
    <w:rsid w:val="00A2456A"/>
    <w:rsid w:val="00A266F9"/>
    <w:rsid w:val="00A26DBF"/>
    <w:rsid w:val="00A274F1"/>
    <w:rsid w:val="00A3054D"/>
    <w:rsid w:val="00A322CF"/>
    <w:rsid w:val="00A3433C"/>
    <w:rsid w:val="00A35330"/>
    <w:rsid w:val="00A35B63"/>
    <w:rsid w:val="00A36DF4"/>
    <w:rsid w:val="00A40FBA"/>
    <w:rsid w:val="00A47747"/>
    <w:rsid w:val="00A47D38"/>
    <w:rsid w:val="00A51359"/>
    <w:rsid w:val="00A561BE"/>
    <w:rsid w:val="00A571BE"/>
    <w:rsid w:val="00A573FD"/>
    <w:rsid w:val="00A66170"/>
    <w:rsid w:val="00A66D52"/>
    <w:rsid w:val="00A70331"/>
    <w:rsid w:val="00A70B15"/>
    <w:rsid w:val="00A72CF6"/>
    <w:rsid w:val="00A81A53"/>
    <w:rsid w:val="00A84FB1"/>
    <w:rsid w:val="00A85911"/>
    <w:rsid w:val="00A878FB"/>
    <w:rsid w:val="00A90EC7"/>
    <w:rsid w:val="00A969DC"/>
    <w:rsid w:val="00AA1900"/>
    <w:rsid w:val="00AA2713"/>
    <w:rsid w:val="00AA4D02"/>
    <w:rsid w:val="00AA546B"/>
    <w:rsid w:val="00AB1011"/>
    <w:rsid w:val="00AB368B"/>
    <w:rsid w:val="00AB49FF"/>
    <w:rsid w:val="00AC0EFA"/>
    <w:rsid w:val="00AC30FD"/>
    <w:rsid w:val="00AC5530"/>
    <w:rsid w:val="00AC6A21"/>
    <w:rsid w:val="00AC7B5D"/>
    <w:rsid w:val="00AC7C58"/>
    <w:rsid w:val="00AD262A"/>
    <w:rsid w:val="00AD2A38"/>
    <w:rsid w:val="00AD416A"/>
    <w:rsid w:val="00AD4AD2"/>
    <w:rsid w:val="00AD521E"/>
    <w:rsid w:val="00AD5D4F"/>
    <w:rsid w:val="00AD6161"/>
    <w:rsid w:val="00AD6BA7"/>
    <w:rsid w:val="00AE23E6"/>
    <w:rsid w:val="00AE460D"/>
    <w:rsid w:val="00AE5235"/>
    <w:rsid w:val="00AF203B"/>
    <w:rsid w:val="00AF36B6"/>
    <w:rsid w:val="00AF5B39"/>
    <w:rsid w:val="00AF6A9B"/>
    <w:rsid w:val="00B102EC"/>
    <w:rsid w:val="00B11283"/>
    <w:rsid w:val="00B11A3D"/>
    <w:rsid w:val="00B1221C"/>
    <w:rsid w:val="00B123A9"/>
    <w:rsid w:val="00B127F1"/>
    <w:rsid w:val="00B12962"/>
    <w:rsid w:val="00B16D19"/>
    <w:rsid w:val="00B23868"/>
    <w:rsid w:val="00B23C7E"/>
    <w:rsid w:val="00B2415D"/>
    <w:rsid w:val="00B25B0B"/>
    <w:rsid w:val="00B26751"/>
    <w:rsid w:val="00B27A0F"/>
    <w:rsid w:val="00B358A1"/>
    <w:rsid w:val="00B35941"/>
    <w:rsid w:val="00B402A8"/>
    <w:rsid w:val="00B4169A"/>
    <w:rsid w:val="00B41A94"/>
    <w:rsid w:val="00B45E82"/>
    <w:rsid w:val="00B46042"/>
    <w:rsid w:val="00B538B1"/>
    <w:rsid w:val="00B54FB5"/>
    <w:rsid w:val="00B56095"/>
    <w:rsid w:val="00B5715E"/>
    <w:rsid w:val="00B60E84"/>
    <w:rsid w:val="00B64D23"/>
    <w:rsid w:val="00B66EC1"/>
    <w:rsid w:val="00B70076"/>
    <w:rsid w:val="00B7072C"/>
    <w:rsid w:val="00B8536E"/>
    <w:rsid w:val="00B86625"/>
    <w:rsid w:val="00B87A5D"/>
    <w:rsid w:val="00B919E6"/>
    <w:rsid w:val="00B955D1"/>
    <w:rsid w:val="00B95938"/>
    <w:rsid w:val="00B96B43"/>
    <w:rsid w:val="00BA07DA"/>
    <w:rsid w:val="00BA267A"/>
    <w:rsid w:val="00BA6A18"/>
    <w:rsid w:val="00BB339B"/>
    <w:rsid w:val="00BC0873"/>
    <w:rsid w:val="00BC1645"/>
    <w:rsid w:val="00BC4893"/>
    <w:rsid w:val="00BC51FD"/>
    <w:rsid w:val="00BC74D7"/>
    <w:rsid w:val="00BD1034"/>
    <w:rsid w:val="00BD304F"/>
    <w:rsid w:val="00BD4CE6"/>
    <w:rsid w:val="00BE400E"/>
    <w:rsid w:val="00BE7B11"/>
    <w:rsid w:val="00BF466D"/>
    <w:rsid w:val="00C00307"/>
    <w:rsid w:val="00C027A8"/>
    <w:rsid w:val="00C04837"/>
    <w:rsid w:val="00C060A8"/>
    <w:rsid w:val="00C11F3A"/>
    <w:rsid w:val="00C11FB7"/>
    <w:rsid w:val="00C11FFC"/>
    <w:rsid w:val="00C14090"/>
    <w:rsid w:val="00C145C8"/>
    <w:rsid w:val="00C1570B"/>
    <w:rsid w:val="00C24B04"/>
    <w:rsid w:val="00C25CCF"/>
    <w:rsid w:val="00C37E69"/>
    <w:rsid w:val="00C40FE7"/>
    <w:rsid w:val="00C43D38"/>
    <w:rsid w:val="00C4444F"/>
    <w:rsid w:val="00C466BB"/>
    <w:rsid w:val="00C46834"/>
    <w:rsid w:val="00C50293"/>
    <w:rsid w:val="00C5065A"/>
    <w:rsid w:val="00C5183A"/>
    <w:rsid w:val="00C51B27"/>
    <w:rsid w:val="00C54C7A"/>
    <w:rsid w:val="00C639FA"/>
    <w:rsid w:val="00C7122E"/>
    <w:rsid w:val="00C74544"/>
    <w:rsid w:val="00C76020"/>
    <w:rsid w:val="00C80E83"/>
    <w:rsid w:val="00C80EFF"/>
    <w:rsid w:val="00C8118C"/>
    <w:rsid w:val="00C824CF"/>
    <w:rsid w:val="00C83986"/>
    <w:rsid w:val="00C84721"/>
    <w:rsid w:val="00C87371"/>
    <w:rsid w:val="00C9002E"/>
    <w:rsid w:val="00C90266"/>
    <w:rsid w:val="00C941B0"/>
    <w:rsid w:val="00C979D3"/>
    <w:rsid w:val="00CA0C8D"/>
    <w:rsid w:val="00CA39E6"/>
    <w:rsid w:val="00CA425E"/>
    <w:rsid w:val="00CA474C"/>
    <w:rsid w:val="00CA4B95"/>
    <w:rsid w:val="00CA5763"/>
    <w:rsid w:val="00CA5DA9"/>
    <w:rsid w:val="00CA66A1"/>
    <w:rsid w:val="00CA69FF"/>
    <w:rsid w:val="00CC08B7"/>
    <w:rsid w:val="00CC2890"/>
    <w:rsid w:val="00CC2E12"/>
    <w:rsid w:val="00CC3105"/>
    <w:rsid w:val="00CC3B94"/>
    <w:rsid w:val="00CC3CC1"/>
    <w:rsid w:val="00CC3E1A"/>
    <w:rsid w:val="00CC4DE9"/>
    <w:rsid w:val="00CC74D1"/>
    <w:rsid w:val="00CD0363"/>
    <w:rsid w:val="00CD0468"/>
    <w:rsid w:val="00CD5DAD"/>
    <w:rsid w:val="00CE29FD"/>
    <w:rsid w:val="00CE309A"/>
    <w:rsid w:val="00CE4439"/>
    <w:rsid w:val="00CE5D18"/>
    <w:rsid w:val="00CE6A8A"/>
    <w:rsid w:val="00CF37D0"/>
    <w:rsid w:val="00CF4862"/>
    <w:rsid w:val="00CF5ED1"/>
    <w:rsid w:val="00CF6CD7"/>
    <w:rsid w:val="00CF7710"/>
    <w:rsid w:val="00D00C1B"/>
    <w:rsid w:val="00D01D24"/>
    <w:rsid w:val="00D04BFF"/>
    <w:rsid w:val="00D1104D"/>
    <w:rsid w:val="00D12121"/>
    <w:rsid w:val="00D14224"/>
    <w:rsid w:val="00D147E5"/>
    <w:rsid w:val="00D204F6"/>
    <w:rsid w:val="00D215D6"/>
    <w:rsid w:val="00D223DC"/>
    <w:rsid w:val="00D241B0"/>
    <w:rsid w:val="00D2695C"/>
    <w:rsid w:val="00D27417"/>
    <w:rsid w:val="00D27C2D"/>
    <w:rsid w:val="00D30F40"/>
    <w:rsid w:val="00D31256"/>
    <w:rsid w:val="00D33B1C"/>
    <w:rsid w:val="00D34481"/>
    <w:rsid w:val="00D4114F"/>
    <w:rsid w:val="00D41950"/>
    <w:rsid w:val="00D456AC"/>
    <w:rsid w:val="00D45DF0"/>
    <w:rsid w:val="00D461D9"/>
    <w:rsid w:val="00D46E37"/>
    <w:rsid w:val="00D47CE2"/>
    <w:rsid w:val="00D51E6D"/>
    <w:rsid w:val="00D540EF"/>
    <w:rsid w:val="00D563F6"/>
    <w:rsid w:val="00D61747"/>
    <w:rsid w:val="00D61E60"/>
    <w:rsid w:val="00D64D2A"/>
    <w:rsid w:val="00D65BF2"/>
    <w:rsid w:val="00D671E8"/>
    <w:rsid w:val="00D67DD4"/>
    <w:rsid w:val="00D73987"/>
    <w:rsid w:val="00D7671E"/>
    <w:rsid w:val="00D81441"/>
    <w:rsid w:val="00D84A27"/>
    <w:rsid w:val="00D91A73"/>
    <w:rsid w:val="00D93C21"/>
    <w:rsid w:val="00D95243"/>
    <w:rsid w:val="00DA1E49"/>
    <w:rsid w:val="00DA6527"/>
    <w:rsid w:val="00DB01AE"/>
    <w:rsid w:val="00DB3575"/>
    <w:rsid w:val="00DB41CD"/>
    <w:rsid w:val="00DB6797"/>
    <w:rsid w:val="00DB698E"/>
    <w:rsid w:val="00DB7A59"/>
    <w:rsid w:val="00DC0CAC"/>
    <w:rsid w:val="00DC338E"/>
    <w:rsid w:val="00DC4079"/>
    <w:rsid w:val="00DC6042"/>
    <w:rsid w:val="00DC66CD"/>
    <w:rsid w:val="00DC7FA7"/>
    <w:rsid w:val="00DD2285"/>
    <w:rsid w:val="00DD410B"/>
    <w:rsid w:val="00DD44A1"/>
    <w:rsid w:val="00DE0A16"/>
    <w:rsid w:val="00DE12E8"/>
    <w:rsid w:val="00DE1BED"/>
    <w:rsid w:val="00DE2C2A"/>
    <w:rsid w:val="00DE3F08"/>
    <w:rsid w:val="00DE42EA"/>
    <w:rsid w:val="00DE65AE"/>
    <w:rsid w:val="00DF24EC"/>
    <w:rsid w:val="00DF51DC"/>
    <w:rsid w:val="00DF5788"/>
    <w:rsid w:val="00E00214"/>
    <w:rsid w:val="00E007AF"/>
    <w:rsid w:val="00E013F8"/>
    <w:rsid w:val="00E029C2"/>
    <w:rsid w:val="00E03268"/>
    <w:rsid w:val="00E0386F"/>
    <w:rsid w:val="00E11176"/>
    <w:rsid w:val="00E112B9"/>
    <w:rsid w:val="00E1178C"/>
    <w:rsid w:val="00E12B7F"/>
    <w:rsid w:val="00E14AA3"/>
    <w:rsid w:val="00E14C42"/>
    <w:rsid w:val="00E15B13"/>
    <w:rsid w:val="00E1782F"/>
    <w:rsid w:val="00E2020E"/>
    <w:rsid w:val="00E220A4"/>
    <w:rsid w:val="00E233CB"/>
    <w:rsid w:val="00E23B89"/>
    <w:rsid w:val="00E242B0"/>
    <w:rsid w:val="00E278D4"/>
    <w:rsid w:val="00E27CA6"/>
    <w:rsid w:val="00E27FD0"/>
    <w:rsid w:val="00E32655"/>
    <w:rsid w:val="00E40A9D"/>
    <w:rsid w:val="00E41B5F"/>
    <w:rsid w:val="00E4475F"/>
    <w:rsid w:val="00E44AA3"/>
    <w:rsid w:val="00E47A6E"/>
    <w:rsid w:val="00E5001F"/>
    <w:rsid w:val="00E52A47"/>
    <w:rsid w:val="00E536B2"/>
    <w:rsid w:val="00E54758"/>
    <w:rsid w:val="00E57B66"/>
    <w:rsid w:val="00E66306"/>
    <w:rsid w:val="00E70DF1"/>
    <w:rsid w:val="00E7106A"/>
    <w:rsid w:val="00E747EE"/>
    <w:rsid w:val="00E7488A"/>
    <w:rsid w:val="00E7544E"/>
    <w:rsid w:val="00E75763"/>
    <w:rsid w:val="00E76CE7"/>
    <w:rsid w:val="00E8032B"/>
    <w:rsid w:val="00E83999"/>
    <w:rsid w:val="00E846EE"/>
    <w:rsid w:val="00E859F5"/>
    <w:rsid w:val="00E8600B"/>
    <w:rsid w:val="00E90AC0"/>
    <w:rsid w:val="00E94BCC"/>
    <w:rsid w:val="00E96B84"/>
    <w:rsid w:val="00E97F94"/>
    <w:rsid w:val="00EA3834"/>
    <w:rsid w:val="00EA5DA1"/>
    <w:rsid w:val="00EA7D90"/>
    <w:rsid w:val="00EB1335"/>
    <w:rsid w:val="00EB284B"/>
    <w:rsid w:val="00EB4A03"/>
    <w:rsid w:val="00EC44E0"/>
    <w:rsid w:val="00EC5E15"/>
    <w:rsid w:val="00EC720C"/>
    <w:rsid w:val="00ED153C"/>
    <w:rsid w:val="00ED3538"/>
    <w:rsid w:val="00ED39AE"/>
    <w:rsid w:val="00ED4BC6"/>
    <w:rsid w:val="00EE0C9F"/>
    <w:rsid w:val="00EE2244"/>
    <w:rsid w:val="00EE49C3"/>
    <w:rsid w:val="00EE67F2"/>
    <w:rsid w:val="00EE749F"/>
    <w:rsid w:val="00EF0F36"/>
    <w:rsid w:val="00EF124B"/>
    <w:rsid w:val="00EF2AE5"/>
    <w:rsid w:val="00EF35E2"/>
    <w:rsid w:val="00EF5FF8"/>
    <w:rsid w:val="00EF7C4D"/>
    <w:rsid w:val="00F009BC"/>
    <w:rsid w:val="00F05D6A"/>
    <w:rsid w:val="00F06462"/>
    <w:rsid w:val="00F06C3F"/>
    <w:rsid w:val="00F12B7E"/>
    <w:rsid w:val="00F1460C"/>
    <w:rsid w:val="00F22419"/>
    <w:rsid w:val="00F2496B"/>
    <w:rsid w:val="00F25786"/>
    <w:rsid w:val="00F26A44"/>
    <w:rsid w:val="00F305E6"/>
    <w:rsid w:val="00F35F7B"/>
    <w:rsid w:val="00F40844"/>
    <w:rsid w:val="00F40C47"/>
    <w:rsid w:val="00F43942"/>
    <w:rsid w:val="00F447DE"/>
    <w:rsid w:val="00F45107"/>
    <w:rsid w:val="00F45A9B"/>
    <w:rsid w:val="00F45FD7"/>
    <w:rsid w:val="00F4708A"/>
    <w:rsid w:val="00F50802"/>
    <w:rsid w:val="00F51B34"/>
    <w:rsid w:val="00F53DF2"/>
    <w:rsid w:val="00F578B0"/>
    <w:rsid w:val="00F57B86"/>
    <w:rsid w:val="00F602BE"/>
    <w:rsid w:val="00F60312"/>
    <w:rsid w:val="00F6068A"/>
    <w:rsid w:val="00F6599E"/>
    <w:rsid w:val="00F660FC"/>
    <w:rsid w:val="00F66980"/>
    <w:rsid w:val="00F71A73"/>
    <w:rsid w:val="00F72C2F"/>
    <w:rsid w:val="00F73310"/>
    <w:rsid w:val="00F74CFF"/>
    <w:rsid w:val="00F807EC"/>
    <w:rsid w:val="00F839BF"/>
    <w:rsid w:val="00F83DEB"/>
    <w:rsid w:val="00F875A4"/>
    <w:rsid w:val="00F87696"/>
    <w:rsid w:val="00F877BB"/>
    <w:rsid w:val="00F90DAD"/>
    <w:rsid w:val="00F90FC8"/>
    <w:rsid w:val="00F94F45"/>
    <w:rsid w:val="00F96242"/>
    <w:rsid w:val="00FB0661"/>
    <w:rsid w:val="00FB5651"/>
    <w:rsid w:val="00FB780B"/>
    <w:rsid w:val="00FC2BA5"/>
    <w:rsid w:val="00FC36F7"/>
    <w:rsid w:val="00FC56E8"/>
    <w:rsid w:val="00FD385C"/>
    <w:rsid w:val="00FD4560"/>
    <w:rsid w:val="00FD7FBF"/>
    <w:rsid w:val="00FE1AEC"/>
    <w:rsid w:val="00FE3843"/>
    <w:rsid w:val="00FE4396"/>
    <w:rsid w:val="00FE5FFA"/>
    <w:rsid w:val="00FE7800"/>
    <w:rsid w:val="00FF1F73"/>
    <w:rsid w:val="025AE41E"/>
    <w:rsid w:val="0274BCBA"/>
    <w:rsid w:val="03921197"/>
    <w:rsid w:val="05C961AB"/>
    <w:rsid w:val="0708DD1B"/>
    <w:rsid w:val="0B08ADCA"/>
    <w:rsid w:val="0BD2A031"/>
    <w:rsid w:val="0F91360F"/>
    <w:rsid w:val="10EFFB59"/>
    <w:rsid w:val="12FE2111"/>
    <w:rsid w:val="13C86922"/>
    <w:rsid w:val="14B9D942"/>
    <w:rsid w:val="18169D33"/>
    <w:rsid w:val="18B5A4B2"/>
    <w:rsid w:val="18DC0BD7"/>
    <w:rsid w:val="1C5F325E"/>
    <w:rsid w:val="1CEE6F0C"/>
    <w:rsid w:val="1D4A4604"/>
    <w:rsid w:val="1EFFE3E3"/>
    <w:rsid w:val="208CD652"/>
    <w:rsid w:val="22B32D15"/>
    <w:rsid w:val="236E5C9B"/>
    <w:rsid w:val="2464C4FD"/>
    <w:rsid w:val="25A7A887"/>
    <w:rsid w:val="25ED814D"/>
    <w:rsid w:val="28765E45"/>
    <w:rsid w:val="2C6786E9"/>
    <w:rsid w:val="2D8EE776"/>
    <w:rsid w:val="2F8B49D7"/>
    <w:rsid w:val="2FCD4B6E"/>
    <w:rsid w:val="3356D5F6"/>
    <w:rsid w:val="347BD9AF"/>
    <w:rsid w:val="36BE0E71"/>
    <w:rsid w:val="37CF603D"/>
    <w:rsid w:val="37DE16F1"/>
    <w:rsid w:val="3A2FA339"/>
    <w:rsid w:val="3ACE84A2"/>
    <w:rsid w:val="3C62B27B"/>
    <w:rsid w:val="3EC2FFF9"/>
    <w:rsid w:val="3F4B6269"/>
    <w:rsid w:val="3FF639E5"/>
    <w:rsid w:val="427C66A7"/>
    <w:rsid w:val="46121920"/>
    <w:rsid w:val="46D43C90"/>
    <w:rsid w:val="49D3ABDD"/>
    <w:rsid w:val="4B38CFE6"/>
    <w:rsid w:val="4C8951C7"/>
    <w:rsid w:val="54511CFA"/>
    <w:rsid w:val="545BCD07"/>
    <w:rsid w:val="564D1F2D"/>
    <w:rsid w:val="56F8FAF1"/>
    <w:rsid w:val="582F9677"/>
    <w:rsid w:val="5DC8B5EC"/>
    <w:rsid w:val="5DEAD6A3"/>
    <w:rsid w:val="5FA5AB3B"/>
    <w:rsid w:val="61F25B62"/>
    <w:rsid w:val="63D4B9B3"/>
    <w:rsid w:val="6A1E565F"/>
    <w:rsid w:val="71B1BB17"/>
    <w:rsid w:val="72B813CB"/>
    <w:rsid w:val="735C4B05"/>
    <w:rsid w:val="76B87B15"/>
    <w:rsid w:val="76F2BACC"/>
    <w:rsid w:val="76F8E03C"/>
    <w:rsid w:val="77BA76ED"/>
    <w:rsid w:val="790CD2A7"/>
    <w:rsid w:val="7936AC68"/>
    <w:rsid w:val="797B4895"/>
    <w:rsid w:val="7C931F0A"/>
    <w:rsid w:val="7E79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99A9FB"/>
  <w15:docId w15:val="{1C44F102-E1A4-474C-9A54-1E4BBA07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2B0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E242B0"/>
    <w:pPr>
      <w:jc w:val="both"/>
    </w:pPr>
    <w:rPr>
      <w:rFonts w:ascii="Arial" w:hAnsi="Arial" w:cs="Arial"/>
    </w:rPr>
  </w:style>
  <w:style w:type="table" w:styleId="Tablaconcuadrcula">
    <w:name w:val="Table Grid"/>
    <w:basedOn w:val="Tablanormal"/>
    <w:rsid w:val="00B35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A266F9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A266F9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0619C4"/>
  </w:style>
  <w:style w:type="paragraph" w:styleId="Prrafodelista">
    <w:name w:val="List Paragraph"/>
    <w:basedOn w:val="Normal"/>
    <w:uiPriority w:val="34"/>
    <w:qFormat/>
    <w:rsid w:val="007F6CAE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5DA"/>
    <w:rPr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rsid w:val="00666C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6C20"/>
    <w:rPr>
      <w:rFonts w:ascii="Tahoma" w:hAnsi="Tahoma" w:cs="Tahoma"/>
      <w:sz w:val="16"/>
      <w:szCs w:val="16"/>
      <w:lang w:eastAsia="en-US"/>
    </w:rPr>
  </w:style>
  <w:style w:type="paragraph" w:styleId="Textonotapie">
    <w:name w:val="footnote text"/>
    <w:basedOn w:val="Normal"/>
    <w:link w:val="TextonotapieCar"/>
    <w:rsid w:val="007175D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7175DC"/>
    <w:rPr>
      <w:lang w:eastAsia="en-US"/>
    </w:rPr>
  </w:style>
  <w:style w:type="character" w:styleId="Refdenotaalpie">
    <w:name w:val="footnote reference"/>
    <w:basedOn w:val="Fuentedeprrafopredeter"/>
    <w:rsid w:val="007175DC"/>
    <w:rPr>
      <w:vertAlign w:val="superscript"/>
    </w:rPr>
  </w:style>
  <w:style w:type="character" w:styleId="Hipervnculo">
    <w:name w:val="Hyperlink"/>
    <w:basedOn w:val="Fuentedeprrafopredeter"/>
    <w:rsid w:val="00B2415D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D04BFF"/>
  </w:style>
  <w:style w:type="paragraph" w:styleId="NormalWeb">
    <w:name w:val="Normal (Web)"/>
    <w:basedOn w:val="Normal"/>
    <w:uiPriority w:val="99"/>
    <w:unhideWhenUsed/>
    <w:rsid w:val="00200610"/>
    <w:pPr>
      <w:spacing w:before="100" w:beforeAutospacing="1" w:after="100" w:afterAutospacing="1"/>
    </w:pPr>
    <w:rPr>
      <w:lang w:eastAsia="es-CO"/>
    </w:rPr>
  </w:style>
  <w:style w:type="character" w:styleId="Refdecomentario">
    <w:name w:val="annotation reference"/>
    <w:basedOn w:val="Fuentedeprrafopredeter"/>
    <w:semiHidden/>
    <w:unhideWhenUsed/>
    <w:rsid w:val="0018598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8598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85980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859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85980"/>
    <w:rPr>
      <w:b/>
      <w:bCs/>
      <w:lang w:eastAsia="en-US"/>
    </w:rPr>
  </w:style>
  <w:style w:type="paragraph" w:styleId="Revisin">
    <w:name w:val="Revision"/>
    <w:hidden/>
    <w:uiPriority w:val="99"/>
    <w:semiHidden/>
    <w:rsid w:val="00F74CFF"/>
    <w:rPr>
      <w:sz w:val="24"/>
      <w:szCs w:val="24"/>
      <w:lang w:eastAsia="en-US"/>
    </w:rPr>
  </w:style>
  <w:style w:type="paragraph" w:customStyle="1" w:styleId="paragraph">
    <w:name w:val="paragraph"/>
    <w:basedOn w:val="Normal"/>
    <w:rsid w:val="002470FE"/>
    <w:pPr>
      <w:spacing w:before="100" w:beforeAutospacing="1" w:after="100" w:afterAutospacing="1"/>
    </w:pPr>
    <w:rPr>
      <w:lang w:eastAsia="es-CO"/>
    </w:rPr>
  </w:style>
  <w:style w:type="character" w:customStyle="1" w:styleId="normaltextrun">
    <w:name w:val="normaltextrun"/>
    <w:basedOn w:val="Fuentedeprrafopredeter"/>
    <w:rsid w:val="002470FE"/>
  </w:style>
  <w:style w:type="character" w:customStyle="1" w:styleId="spellingerror">
    <w:name w:val="spellingerror"/>
    <w:basedOn w:val="Fuentedeprrafopredeter"/>
    <w:rsid w:val="002470FE"/>
  </w:style>
  <w:style w:type="character" w:customStyle="1" w:styleId="contextualspellingandgrammarerror">
    <w:name w:val="contextualspellingandgrammarerror"/>
    <w:basedOn w:val="Fuentedeprrafopredeter"/>
    <w:rsid w:val="002470FE"/>
  </w:style>
  <w:style w:type="character" w:customStyle="1" w:styleId="eop">
    <w:name w:val="eop"/>
    <w:basedOn w:val="Fuentedeprrafopredeter"/>
    <w:rsid w:val="002470FE"/>
  </w:style>
  <w:style w:type="paragraph" w:styleId="Descripcin">
    <w:name w:val="caption"/>
    <w:basedOn w:val="Normal"/>
    <w:next w:val="Normal"/>
    <w:unhideWhenUsed/>
    <w:qFormat/>
    <w:rsid w:val="003001BC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amar\OneDrive\UNIVERSIDAD\SEMESTRE%204\Analisis%20Financiero\Modelo\H%20-%20Mineros%20-%20Marino-Pulido-Valencia.xlsm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>
                <a:solidFill>
                  <a:schemeClr val="accent5">
                    <a:lumMod val="50000"/>
                  </a:schemeClr>
                </a:solidFill>
              </a:rPr>
              <a:t>CONCENTRACIÓN DEL ENDEUDAMIENTO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Gráficas!$GU$25</c:f>
              <c:strCache>
                <c:ptCount val="1"/>
                <c:pt idx="0">
                  <c:v>CONCENTRACIÓN DEL ENDEUDAMIENTO</c:v>
                </c:pt>
              </c:strCache>
            </c:strRef>
          </c:tx>
          <c:spPr>
            <a:ln w="28575" cap="rnd">
              <a:solidFill>
                <a:srgbClr val="356769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356769"/>
              </a:solidFill>
              <a:ln w="9525">
                <a:solidFill>
                  <a:srgbClr val="A8CE8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Gráficas!$GV$24:$HB$24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Gráficas!$GV$25:$HB$25</c:f>
              <c:numCache>
                <c:formatCode>0.0%</c:formatCode>
                <c:ptCount val="7"/>
                <c:pt idx="0">
                  <c:v>0.73230346000677182</c:v>
                </c:pt>
                <c:pt idx="1">
                  <c:v>0.40818765952492619</c:v>
                </c:pt>
                <c:pt idx="2">
                  <c:v>0.56219483451826546</c:v>
                </c:pt>
                <c:pt idx="3">
                  <c:v>0.34640506354176787</c:v>
                </c:pt>
                <c:pt idx="4">
                  <c:v>0.34960995200807665</c:v>
                </c:pt>
                <c:pt idx="5">
                  <c:v>0.31608200650139934</c:v>
                </c:pt>
                <c:pt idx="6">
                  <c:v>0.49252140092233254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AA4-4956-9F86-CB39C59A06FB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809299016"/>
        <c:axId val="1809294096"/>
      </c:lineChart>
      <c:catAx>
        <c:axId val="1809299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9294096"/>
        <c:crosses val="autoZero"/>
        <c:auto val="1"/>
        <c:lblAlgn val="ctr"/>
        <c:lblOffset val="100"/>
        <c:noMultiLvlLbl val="0"/>
      </c:catAx>
      <c:valAx>
        <c:axId val="1809294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9299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3E588-77F8-4C4A-B131-86DBF0D2D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1234</Words>
  <Characters>7035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Mejia</dc:creator>
  <cp:keywords/>
  <cp:lastModifiedBy>paulamacortes8@hotmail.com</cp:lastModifiedBy>
  <cp:revision>2</cp:revision>
  <cp:lastPrinted>2016-12-02T21:09:00Z</cp:lastPrinted>
  <dcterms:created xsi:type="dcterms:W3CDTF">2019-11-14T00:50:00Z</dcterms:created>
  <dcterms:modified xsi:type="dcterms:W3CDTF">2019-11-14T00:50:00Z</dcterms:modified>
</cp:coreProperties>
</file>