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5FC32" w14:textId="77777777" w:rsidR="002A103F" w:rsidRDefault="002A103F" w:rsidP="00434488">
      <w:pPr>
        <w:spacing w:after="120" w:line="240" w:lineRule="auto"/>
        <w:rPr>
          <w:rFonts w:ascii="Corbel" w:eastAsia="Corbel" w:hAnsi="Corbel" w:cs="Corbel"/>
          <w:lang w:val="es-CO"/>
        </w:rPr>
      </w:pPr>
      <w:bookmarkStart w:id="0" w:name="_GoBack"/>
      <w:bookmarkEnd w:id="0"/>
      <w:r w:rsidRPr="308641E6">
        <w:rPr>
          <w:rFonts w:ascii="Corbel" w:eastAsia="Corbel" w:hAnsi="Corbel" w:cs="Corbel"/>
          <w:lang w:val="es-CO"/>
        </w:rPr>
        <w:t xml:space="preserve">Universidad Externado de Colombia </w:t>
      </w:r>
    </w:p>
    <w:p w14:paraId="05C8AF42" w14:textId="77777777" w:rsidR="002A103F" w:rsidRDefault="002A103F" w:rsidP="00434488">
      <w:pPr>
        <w:spacing w:after="120" w:line="240" w:lineRule="auto"/>
        <w:rPr>
          <w:rFonts w:ascii="Corbel" w:eastAsia="Corbel" w:hAnsi="Corbel" w:cs="Corbel"/>
          <w:lang w:val="es-CO"/>
        </w:rPr>
      </w:pPr>
      <w:r w:rsidRPr="308641E6">
        <w:rPr>
          <w:rFonts w:ascii="Corbel" w:eastAsia="Corbel" w:hAnsi="Corbel" w:cs="Corbel"/>
          <w:lang w:val="es-CO"/>
        </w:rPr>
        <w:t xml:space="preserve">Estrategia Financiera - Entrega 3 </w:t>
      </w:r>
    </w:p>
    <w:p w14:paraId="7EF82714" w14:textId="77777777" w:rsidR="002A103F" w:rsidRDefault="002A103F" w:rsidP="00434488">
      <w:pPr>
        <w:spacing w:after="120" w:line="240" w:lineRule="auto"/>
        <w:rPr>
          <w:rFonts w:ascii="Corbel" w:eastAsia="Corbel" w:hAnsi="Corbel" w:cs="Corbel"/>
          <w:lang w:val="es-CO"/>
        </w:rPr>
      </w:pPr>
      <w:r w:rsidRPr="308641E6">
        <w:rPr>
          <w:rFonts w:ascii="Corbel" w:eastAsia="Corbel" w:hAnsi="Corbel" w:cs="Corbel"/>
          <w:lang w:val="es-CO"/>
        </w:rPr>
        <w:t xml:space="preserve">Camilo Mejía, María Camila Ospina, Laura Torres, Natalia Trujillo, Cristian Ubaté. </w:t>
      </w:r>
    </w:p>
    <w:p w14:paraId="65A757A3" w14:textId="7EBB67DD" w:rsidR="50E3E944" w:rsidRPr="002A103F" w:rsidRDefault="308641E6" w:rsidP="002A103F">
      <w:pPr>
        <w:spacing w:line="276" w:lineRule="auto"/>
        <w:jc w:val="both"/>
        <w:rPr>
          <w:rFonts w:ascii="Corbel" w:eastAsia="Corbel" w:hAnsi="Corbel" w:cs="Corbel"/>
          <w:lang w:val="es-CO"/>
        </w:rPr>
      </w:pPr>
      <w:r w:rsidRPr="002A103F">
        <w:rPr>
          <w:rFonts w:ascii="Corbel" w:eastAsia="Corbel" w:hAnsi="Corbel" w:cs="Corbel"/>
          <w:lang w:val="es-CO"/>
        </w:rPr>
        <w:t xml:space="preserve">Con el fin de lograr aumentar el desempeño y crecimiento sostenible de Interconexión Eléctrica S.A, para el año 2012, se implementó el plan estratégico ISA 2020. En este, se esperaba multiplicar x3 las utilidades frente al año 2012 por medio de la captura de nuevas oportunidades de crecimiento más rentables. Asimismo, ISA buscaba una mayor eficiencia operativa y optimización de su portafolio, diversificando sus inversiones y aumentando su participación en otros negocios logrando disminuir su exposición al riesgo regulatorio. </w:t>
      </w:r>
    </w:p>
    <w:p w14:paraId="1844B039" w14:textId="128D0BD8" w:rsidR="00E760DC" w:rsidRPr="002A103F" w:rsidRDefault="308641E6" w:rsidP="002A103F">
      <w:pPr>
        <w:spacing w:line="276" w:lineRule="auto"/>
        <w:rPr>
          <w:rFonts w:ascii="Corbel" w:eastAsia="Corbel" w:hAnsi="Corbel" w:cs="Corbel"/>
          <w:lang w:val="es-CO"/>
        </w:rPr>
      </w:pPr>
      <w:r w:rsidRPr="002A103F">
        <w:rPr>
          <w:rFonts w:ascii="Corbel" w:eastAsia="Corbel" w:hAnsi="Corbel" w:cs="Corbel"/>
          <w:lang w:val="es-CO"/>
        </w:rPr>
        <w:t>Para lograr esta estrategia la compañía se basó en tres ejes estratégicos:</w:t>
      </w:r>
    </w:p>
    <w:p w14:paraId="209AEB46" w14:textId="22138C8C" w:rsidR="008A49C8" w:rsidRPr="002A103F" w:rsidRDefault="308641E6" w:rsidP="002A103F">
      <w:pPr>
        <w:pStyle w:val="Prrafodelista"/>
        <w:numPr>
          <w:ilvl w:val="0"/>
          <w:numId w:val="7"/>
        </w:numPr>
        <w:spacing w:line="276" w:lineRule="auto"/>
        <w:rPr>
          <w:rFonts w:ascii="Corbel" w:hAnsi="Corbel"/>
          <w:lang w:val="es-CO"/>
        </w:rPr>
      </w:pPr>
      <w:r w:rsidRPr="002A103F">
        <w:rPr>
          <w:rFonts w:ascii="Corbel" w:eastAsia="Corbel" w:hAnsi="Corbel" w:cs="Corbel"/>
          <w:lang w:val="es-CO"/>
        </w:rPr>
        <w:t xml:space="preserve">Captura de oportunidades de crecimiento con rentabilidad superior </w:t>
      </w:r>
    </w:p>
    <w:p w14:paraId="36CAC170" w14:textId="5E4F9800" w:rsidR="57BDDDC4" w:rsidRPr="002A103F" w:rsidRDefault="308641E6" w:rsidP="002A103F">
      <w:pPr>
        <w:pStyle w:val="Prrafodelista"/>
        <w:numPr>
          <w:ilvl w:val="0"/>
          <w:numId w:val="4"/>
        </w:numPr>
        <w:spacing w:line="276" w:lineRule="auto"/>
        <w:rPr>
          <w:rFonts w:ascii="Corbel" w:hAnsi="Corbel"/>
          <w:lang w:val="es-CO"/>
        </w:rPr>
      </w:pPr>
      <w:r w:rsidRPr="002A103F">
        <w:rPr>
          <w:rFonts w:ascii="Corbel" w:eastAsia="Corbel" w:hAnsi="Corbel" w:cs="Corbel"/>
          <w:lang w:val="es-CO"/>
        </w:rPr>
        <w:t>Mejora de la rentabilidad de los negocios actuales</w:t>
      </w:r>
    </w:p>
    <w:p w14:paraId="7F24A879" w14:textId="18A156EA" w:rsidR="0017523C" w:rsidRPr="002A103F" w:rsidRDefault="308641E6" w:rsidP="002A103F">
      <w:pPr>
        <w:pStyle w:val="Prrafodelista"/>
        <w:numPr>
          <w:ilvl w:val="0"/>
          <w:numId w:val="4"/>
        </w:numPr>
        <w:spacing w:line="276" w:lineRule="auto"/>
        <w:rPr>
          <w:rFonts w:ascii="Corbel" w:hAnsi="Corbel"/>
          <w:lang w:val="es-CO"/>
        </w:rPr>
      </w:pPr>
      <w:r w:rsidRPr="002A103F">
        <w:rPr>
          <w:rFonts w:ascii="Corbel" w:eastAsia="Corbel" w:hAnsi="Corbel" w:cs="Corbel"/>
          <w:lang w:val="es-CO"/>
        </w:rPr>
        <w:t xml:space="preserve">Gestión de la cartera de negocios  </w:t>
      </w:r>
    </w:p>
    <w:p w14:paraId="4BFBA938" w14:textId="0053005E" w:rsidR="0017523C" w:rsidRPr="002A103F" w:rsidRDefault="39850DCC" w:rsidP="002A103F">
      <w:pPr>
        <w:spacing w:line="276" w:lineRule="auto"/>
        <w:jc w:val="both"/>
        <w:rPr>
          <w:rFonts w:ascii="Corbel" w:eastAsia="Corbel" w:hAnsi="Corbel" w:cs="Corbel"/>
          <w:lang w:val="es-CO"/>
        </w:rPr>
      </w:pPr>
      <w:r w:rsidRPr="002A103F">
        <w:rPr>
          <w:rFonts w:ascii="Corbel" w:eastAsia="Corbel" w:hAnsi="Corbel" w:cs="Corbel"/>
          <w:lang w:val="es-CO"/>
        </w:rPr>
        <w:t xml:space="preserve">El compromiso por parte de la compañía en lograr incrementar su rentabilidad se puede analizar en el periodo comprendido entre los años 2014 y 2019, años en los que ISA logró generar valor. Esto se pudo evidenciar en el año 2015, año en que la compañía logró en un 85% el cumplimiento de la estrategia ISA 2020 lo cual se vio reflejado en la mayor utilidad neta (UNE) en la historia de ISA de COP $706.321 millones. En vista de los buenos resultados de la compañía para el año 2017, tres años antes de lo planeado, ISA logró cumplir en un 100% la estrategia planteada para el año 2020, lo cual, ha conducido al mejoramiento de la rentabilidad de la compañía. Lo anterior, se refleja comparando la UNE del año 2012 frente al año 2017 la cual se multiplicó 5,3 veces superando el objetivo de multiplicarla x3. De igual forma, para ese mismo año, se obtuvo USD 1.949 millones en nuevas inversiones aumentando en un 550% frente al 2016. </w:t>
      </w:r>
    </w:p>
    <w:p w14:paraId="419FCBA6" w14:textId="7DB2173A" w:rsidR="561D663E" w:rsidRPr="002A103F" w:rsidRDefault="40A37BDE" w:rsidP="002A103F">
      <w:pPr>
        <w:spacing w:line="276" w:lineRule="auto"/>
        <w:jc w:val="both"/>
        <w:rPr>
          <w:rFonts w:ascii="Corbel" w:eastAsia="Corbel" w:hAnsi="Corbel" w:cs="Corbel"/>
          <w:lang w:val="es-CO"/>
        </w:rPr>
      </w:pPr>
      <w:r w:rsidRPr="002A103F">
        <w:rPr>
          <w:rFonts w:ascii="Corbel" w:hAnsi="Corbel"/>
          <w:lang w:val="es-CO"/>
        </w:rPr>
        <w:t xml:space="preserve">Una vez alcanzada la estrategia ISA 2020, la compañía decidió evolucionar definiendo nuevas metas, por esta razón, se implementó la estrategia ISA 2030 que tiene como fin extenderse del crecimiento rentable al valor sostenible. Entre las </w:t>
      </w:r>
      <w:r w:rsidRPr="002A103F">
        <w:rPr>
          <w:rFonts w:ascii="Corbel" w:eastAsia="Corbel" w:hAnsi="Corbel" w:cs="Corbel"/>
          <w:lang w:val="es-CO"/>
        </w:rPr>
        <w:t>metas a largo plazo de la compañía se pretende incrementar el EBITDA en un 70% en conjunto con una inversión de USD 10.500 millones en nuevos proyectos tanto en las zonas en las que ya se encuentra ISA como en zonas geográficas nuevas. Esta estrategia de crecimiento está basada en la participación activa por parte de la compañía en diferentes procesos de licitación para proyectos de transmisión de energía e infraestructura, así como en un crecimiento inorgánico aumentando su participación accionaria en distintas compañías que operan en sus negocios estratégicos</w:t>
      </w:r>
      <w:r w:rsidR="001C3275">
        <w:rPr>
          <w:rFonts w:ascii="Corbel" w:eastAsia="Corbel" w:hAnsi="Corbel" w:cs="Corbel"/>
          <w:lang w:val="es-CO"/>
        </w:rPr>
        <w:t>.</w:t>
      </w:r>
    </w:p>
    <w:p w14:paraId="4B23A5E9" w14:textId="4D4E6318" w:rsidR="561D663E" w:rsidRPr="002A103F" w:rsidRDefault="308641E6" w:rsidP="002A103F">
      <w:pPr>
        <w:spacing w:line="276" w:lineRule="auto"/>
        <w:jc w:val="both"/>
        <w:rPr>
          <w:rFonts w:ascii="Corbel" w:hAnsi="Corbel"/>
          <w:lang w:val="es-CO"/>
        </w:rPr>
      </w:pPr>
      <w:r w:rsidRPr="002A103F">
        <w:rPr>
          <w:rFonts w:ascii="Corbel" w:hAnsi="Corbel"/>
          <w:lang w:val="es-CO"/>
        </w:rPr>
        <w:t>Con el fin de lograr la estrategia ISA 2030 la compañía implementó cuatro ejes principales:</w:t>
      </w:r>
    </w:p>
    <w:p w14:paraId="55C8956D" w14:textId="41F7A185" w:rsidR="308641E6" w:rsidRPr="002A103F" w:rsidRDefault="308641E6" w:rsidP="002A103F">
      <w:pPr>
        <w:pStyle w:val="Prrafodelista"/>
        <w:numPr>
          <w:ilvl w:val="0"/>
          <w:numId w:val="3"/>
        </w:numPr>
        <w:spacing w:line="276" w:lineRule="auto"/>
        <w:jc w:val="both"/>
        <w:rPr>
          <w:rFonts w:ascii="Corbel" w:hAnsi="Corbel"/>
          <w:lang w:val="es-CO"/>
        </w:rPr>
      </w:pPr>
      <w:r w:rsidRPr="002A103F">
        <w:rPr>
          <w:rFonts w:ascii="Corbel" w:hAnsi="Corbel"/>
          <w:b/>
          <w:bCs/>
          <w:lang w:val="es-CO"/>
        </w:rPr>
        <w:t xml:space="preserve">Verde: </w:t>
      </w:r>
      <w:r w:rsidRPr="002A103F">
        <w:rPr>
          <w:rFonts w:ascii="Corbel" w:hAnsi="Corbel"/>
          <w:lang w:val="es-CO"/>
        </w:rPr>
        <w:t xml:space="preserve">minimizar los impactos ambientales en las operaciones </w:t>
      </w:r>
    </w:p>
    <w:p w14:paraId="3F330EC7" w14:textId="4F2EA984" w:rsidR="308641E6" w:rsidRPr="002A103F" w:rsidRDefault="308641E6" w:rsidP="002A103F">
      <w:pPr>
        <w:pStyle w:val="Prrafodelista"/>
        <w:numPr>
          <w:ilvl w:val="0"/>
          <w:numId w:val="3"/>
        </w:numPr>
        <w:spacing w:line="276" w:lineRule="auto"/>
        <w:jc w:val="both"/>
        <w:rPr>
          <w:rFonts w:ascii="Corbel" w:hAnsi="Corbel"/>
          <w:lang w:val="es-CO"/>
        </w:rPr>
      </w:pPr>
      <w:r w:rsidRPr="002A103F">
        <w:rPr>
          <w:rFonts w:ascii="Corbel" w:hAnsi="Corbel"/>
          <w:b/>
          <w:bCs/>
          <w:lang w:val="es-CO"/>
        </w:rPr>
        <w:t xml:space="preserve">Innovación: </w:t>
      </w:r>
      <w:r w:rsidRPr="002A103F">
        <w:rPr>
          <w:rFonts w:ascii="Corbel" w:hAnsi="Corbel"/>
          <w:lang w:val="es-CO"/>
        </w:rPr>
        <w:t xml:space="preserve">incorporar la digitalización a las operaciones </w:t>
      </w:r>
    </w:p>
    <w:p w14:paraId="2B7C6068" w14:textId="68CC488E" w:rsidR="308641E6" w:rsidRPr="002A103F" w:rsidRDefault="308641E6" w:rsidP="002A103F">
      <w:pPr>
        <w:pStyle w:val="Prrafodelista"/>
        <w:numPr>
          <w:ilvl w:val="0"/>
          <w:numId w:val="3"/>
        </w:numPr>
        <w:spacing w:line="276" w:lineRule="auto"/>
        <w:jc w:val="both"/>
        <w:rPr>
          <w:rFonts w:ascii="Corbel" w:hAnsi="Corbel"/>
          <w:lang w:val="es-CO"/>
        </w:rPr>
      </w:pPr>
      <w:r w:rsidRPr="002A103F">
        <w:rPr>
          <w:rFonts w:ascii="Corbel" w:hAnsi="Corbel"/>
          <w:b/>
          <w:bCs/>
          <w:lang w:val="es-CO"/>
        </w:rPr>
        <w:t xml:space="preserve">Desarrollo: </w:t>
      </w:r>
      <w:r w:rsidRPr="002A103F">
        <w:rPr>
          <w:rFonts w:ascii="Corbel" w:hAnsi="Corbel"/>
          <w:lang w:val="es-CO"/>
        </w:rPr>
        <w:t xml:space="preserve">direccionar los recursos externos e internos para el desarrollo de iniciativas de impacto social </w:t>
      </w:r>
    </w:p>
    <w:p w14:paraId="3E73BB48" w14:textId="260F5FCE" w:rsidR="308641E6" w:rsidRPr="002A103F" w:rsidRDefault="00434488" w:rsidP="002A103F">
      <w:pPr>
        <w:pStyle w:val="Prrafodelista"/>
        <w:numPr>
          <w:ilvl w:val="0"/>
          <w:numId w:val="3"/>
        </w:numPr>
        <w:spacing w:line="276" w:lineRule="auto"/>
        <w:jc w:val="both"/>
        <w:rPr>
          <w:rFonts w:ascii="Corbel" w:hAnsi="Corbel"/>
          <w:lang w:val="es-CO"/>
        </w:rPr>
      </w:pPr>
      <w:r>
        <w:rPr>
          <w:noProof/>
          <w:lang w:val="es-ES_tradnl" w:eastAsia="es-ES_tradnl"/>
        </w:rPr>
        <w:lastRenderedPageBreak/>
        <w:drawing>
          <wp:anchor distT="0" distB="0" distL="114300" distR="114300" simplePos="0" relativeHeight="251658240" behindDoc="0" locked="0" layoutInCell="1" allowOverlap="1" wp14:anchorId="41BF1F62" wp14:editId="5EF95D70">
            <wp:simplePos x="0" y="0"/>
            <wp:positionH relativeFrom="column">
              <wp:posOffset>2808335</wp:posOffset>
            </wp:positionH>
            <wp:positionV relativeFrom="paragraph">
              <wp:posOffset>365</wp:posOffset>
            </wp:positionV>
            <wp:extent cx="3154045" cy="1779905"/>
            <wp:effectExtent l="0" t="0" r="0" b="0"/>
            <wp:wrapTight wrapText="bothSides">
              <wp:wrapPolygon edited="0">
                <wp:start x="0" y="0"/>
                <wp:lineTo x="0" y="21269"/>
                <wp:lineTo x="21396" y="21269"/>
                <wp:lineTo x="21396" y="0"/>
                <wp:lineTo x="0" y="0"/>
              </wp:wrapPolygon>
            </wp:wrapTight>
            <wp:docPr id="1489215458" name="Picture 126738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3855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4045" cy="1779905"/>
                    </a:xfrm>
                    <a:prstGeom prst="rect">
                      <a:avLst/>
                    </a:prstGeom>
                  </pic:spPr>
                </pic:pic>
              </a:graphicData>
            </a:graphic>
            <wp14:sizeRelH relativeFrom="page">
              <wp14:pctWidth>0</wp14:pctWidth>
            </wp14:sizeRelH>
            <wp14:sizeRelV relativeFrom="page">
              <wp14:pctHeight>0</wp14:pctHeight>
            </wp14:sizeRelV>
          </wp:anchor>
        </w:drawing>
      </w:r>
      <w:r w:rsidR="308641E6" w:rsidRPr="002A103F">
        <w:rPr>
          <w:rFonts w:ascii="Corbel" w:hAnsi="Corbel"/>
          <w:b/>
          <w:bCs/>
          <w:lang w:val="es-CO"/>
        </w:rPr>
        <w:t xml:space="preserve">Articulación: </w:t>
      </w:r>
      <w:r w:rsidR="308641E6" w:rsidRPr="002A103F">
        <w:rPr>
          <w:rFonts w:ascii="Corbel" w:hAnsi="Corbel"/>
          <w:lang w:val="es-CO"/>
        </w:rPr>
        <w:t xml:space="preserve">Sellar alianzas estratégicas para lograr los objetivos </w:t>
      </w:r>
    </w:p>
    <w:p w14:paraId="501BEB29" w14:textId="6CAE25D2" w:rsidR="00AF35AC" w:rsidRPr="002A103F" w:rsidRDefault="00434488" w:rsidP="002A103F">
      <w:pPr>
        <w:spacing w:line="276" w:lineRule="auto"/>
        <w:jc w:val="both"/>
        <w:rPr>
          <w:rFonts w:ascii="Corbel" w:eastAsia="Corbel" w:hAnsi="Corbel" w:cs="Corbel"/>
          <w:lang w:val="es-CO"/>
        </w:rPr>
      </w:pPr>
      <w:r>
        <w:rPr>
          <w:rFonts w:ascii="Corbel" w:eastAsia="Corbel" w:hAnsi="Corbel" w:cs="Corbel"/>
          <w:noProof/>
          <w:lang w:val="es-ES_tradnl" w:eastAsia="es-ES_tradnl"/>
        </w:rPr>
        <mc:AlternateContent>
          <mc:Choice Requires="wps">
            <w:drawing>
              <wp:anchor distT="0" distB="0" distL="114300" distR="114300" simplePos="0" relativeHeight="251661312" behindDoc="0" locked="0" layoutInCell="1" allowOverlap="1" wp14:anchorId="6FEDD6D5" wp14:editId="50DCFE3F">
                <wp:simplePos x="0" y="0"/>
                <wp:positionH relativeFrom="column">
                  <wp:posOffset>2805430</wp:posOffset>
                </wp:positionH>
                <wp:positionV relativeFrom="paragraph">
                  <wp:posOffset>1282065</wp:posOffset>
                </wp:positionV>
                <wp:extent cx="3200400" cy="228600"/>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3200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AF2FFA" w14:textId="58947958" w:rsidR="00434488" w:rsidRPr="00434488" w:rsidRDefault="00434488" w:rsidP="00434488">
                            <w:pPr>
                              <w:jc w:val="right"/>
                              <w:rPr>
                                <w:i/>
                                <w:sz w:val="18"/>
                              </w:rPr>
                            </w:pPr>
                            <w:r w:rsidRPr="00434488">
                              <w:rPr>
                                <w:i/>
                                <w:sz w:val="18"/>
                              </w:rPr>
                              <w:t>Fuente: ISA,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EDD6D5" id="_x0000_t202" coordsize="21600,21600" o:spt="202" path="m0,0l0,21600,21600,21600,21600,0xe">
                <v:stroke joinstyle="miter"/>
                <v:path gradientshapeok="t" o:connecttype="rect"/>
              </v:shapetype>
              <v:shape id="Cuadro de texto 1" o:spid="_x0000_s1026" type="#_x0000_t202" style="position:absolute;left:0;text-align:left;margin-left:220.9pt;margin-top:100.95pt;width:252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" filled="f" stroked="f">
                <v:textbox>
                  <w:txbxContent>
                    <w:p w14:paraId="7BAF2FFA" w14:textId="58947958" w:rsidR="00434488" w:rsidRPr="00434488" w:rsidRDefault="00434488" w:rsidP="00434488">
                      <w:pPr>
                        <w:jc w:val="right"/>
                        <w:rPr>
                          <w:i/>
                          <w:sz w:val="18"/>
                        </w:rPr>
                      </w:pPr>
                      <w:r w:rsidRPr="00434488">
                        <w:rPr>
                          <w:i/>
                          <w:sz w:val="18"/>
                        </w:rPr>
                        <w:t>Fuente: ISA, 2019</w:t>
                      </w:r>
                    </w:p>
                  </w:txbxContent>
                </v:textbox>
                <w10:wrap type="square"/>
              </v:shape>
            </w:pict>
          </mc:Fallback>
        </mc:AlternateContent>
      </w:r>
      <w:r w:rsidR="40A37BDE" w:rsidRPr="002A103F">
        <w:rPr>
          <w:rFonts w:ascii="Corbel" w:eastAsia="Corbel" w:hAnsi="Corbel" w:cs="Corbel"/>
          <w:lang w:val="es-CO"/>
        </w:rPr>
        <w:t>De igual forma, calificadoras de riesgo como Fitch Ratings proveen un perfil de riesgo bajo para ISA, esto gracias a la diversificación geográfica de sus ingresos en los distintos países de Latinoamérica, así como la participación de la compañía en monopolios naturales regulados. Según Fitch, en el 2018 cerca del 62% de los ingresos de ISA provinieron de países con un grado de inversión alto, como Colombia, Perú y Chile. Asimismo, la transmisión de energía en este mismo año contribuyó con 82,5% del EBITDA de ISA, lo que mantiene un riesgo de negocio bajo ya que sus ingresos se encuentran regulados dependiendo del país y no cuentan con exposición al riesgo de demanda (Fitch, 2019).</w:t>
      </w:r>
    </w:p>
    <w:p w14:paraId="07385482" w14:textId="07A7C76F" w:rsidR="67B7CFA4" w:rsidRPr="002A103F" w:rsidRDefault="40A37BDE" w:rsidP="002A103F">
      <w:pPr>
        <w:spacing w:line="276" w:lineRule="auto"/>
        <w:jc w:val="both"/>
        <w:rPr>
          <w:rFonts w:ascii="Corbel" w:eastAsia="Corbel" w:hAnsi="Corbel" w:cs="Corbel"/>
          <w:lang w:val="es-CO"/>
        </w:rPr>
      </w:pPr>
      <w:r w:rsidRPr="002A103F">
        <w:rPr>
          <w:rFonts w:ascii="Corbel" w:eastAsia="Corbel" w:hAnsi="Corbel" w:cs="Corbel"/>
          <w:lang w:val="es-CO"/>
        </w:rPr>
        <w:t xml:space="preserve">Para el año 2019 Fitch Ratings otorgó una calificación crediticia de BBB+ a ISA, lo cual se traduce a una perspectiva estable y un grado de inversión. Adicionalmente, Fitch espera que la compañía mantenga los niveles de apalancamiento en un intervalo de 3,5 veces – 4,0 veces, lo cual permite concluir que ISA cuenta con niveles moderados de apalancamiento y liquidez, logrando así proyectar una generación sólida de un Flujo de Caja Operativo. </w:t>
      </w:r>
    </w:p>
    <w:p w14:paraId="5121DD2C" w14:textId="5231B83B" w:rsidR="4C851273" w:rsidRPr="002A103F" w:rsidRDefault="308641E6" w:rsidP="002A103F">
      <w:pPr>
        <w:spacing w:line="276" w:lineRule="auto"/>
        <w:jc w:val="both"/>
        <w:rPr>
          <w:rFonts w:ascii="Corbel" w:hAnsi="Corbel"/>
          <w:lang w:val="es-CO"/>
        </w:rPr>
      </w:pPr>
      <w:r w:rsidRPr="002A103F">
        <w:rPr>
          <w:rFonts w:ascii="Corbel" w:hAnsi="Corbel"/>
          <w:lang w:val="es-CO"/>
        </w:rPr>
        <w:t>Con respecto a la liquidez de la compañía, se considera que esta es moderada pues cuenta con un flujo de caja operativo fuerte junto con un perfil de endeudamiento manejable, así como acceso amplio a los mercados financieros. El vencimiento de la deuda por parte de ISA es manejable, según Fitch, ya que cuentan con amortizaciones distribuidas hasta el año 2047, asimismo, en el año 2018 ISA contó con la aprobación regulatoria para ampliar el cupo de sus bonos y papeles comerciales. Se espera que los recursos recibidos de estas emisiones contribuyan al financiamiento de CAPEX en conjunto con la ampliación de plazos de financiamiento (Fitch, 2019).</w:t>
      </w:r>
    </w:p>
    <w:p w14:paraId="1AD4448E" w14:textId="4760F764" w:rsidR="40A37BDE" w:rsidRPr="00082E39" w:rsidRDefault="40A37BDE" w:rsidP="002A103F">
      <w:pPr>
        <w:spacing w:line="276" w:lineRule="auto"/>
        <w:jc w:val="both"/>
        <w:rPr>
          <w:rFonts w:ascii="Corbel" w:eastAsia="Corbel" w:hAnsi="Corbel" w:cs="Corbel"/>
          <w:lang w:val="es-MX"/>
        </w:rPr>
      </w:pPr>
      <w:r w:rsidRPr="002A103F">
        <w:rPr>
          <w:rFonts w:ascii="Corbel" w:eastAsia="Corbel" w:hAnsi="Corbel" w:cs="Corbel"/>
          <w:lang w:val="es-MX"/>
        </w:rPr>
        <w:t xml:space="preserve">Por su parte, la acción de ISA ha tenido </w:t>
      </w:r>
      <w:r w:rsidRPr="00082E39">
        <w:rPr>
          <w:rFonts w:ascii="Corbel" w:eastAsia="Corbel" w:hAnsi="Corbel" w:cs="Corbel"/>
          <w:lang w:val="es-MX"/>
        </w:rPr>
        <w:t xml:space="preserve">un comportamiento positivo en el último año, con un retorno medio de 0,15% entre enero y agosto de 2019, con un crecimiento del 31,33% en su valor para este periodo, por lo que ha conservado su posición como la tercera acción más importante del mercado colombiano. Este aumento se ha dado como consecuencia de los buenos indicadores que ha presentado ISA, así como respuestas a sucesos en el mercado. Entre estos se destaca que en el mes de mayo EPM comenzó la venta de su participación en ISA, la cual era de 10,17%, así como el anuncio de que el gobierno está preparando el proceso para vender parte de o toda su participación de 51,41%. Para julio de 2019, el flotante aumentó de 38,42% a 39,77%, pero se espera que finalizado el año sea de 48,59%, esto una vez que EPM haya dispuesto de toda su participación en la firma. Adicionalmente, la acción de ISA presenta bajos índices de volatilidad respecto al mercado y se puede considerar una acción defensiva. Al comparar </w:t>
      </w:r>
      <w:r w:rsidR="00434488">
        <w:rPr>
          <w:noProof/>
          <w:lang w:val="es-ES_tradnl" w:eastAsia="es-ES_tradnl"/>
        </w:rPr>
        <w:lastRenderedPageBreak/>
        <w:drawing>
          <wp:anchor distT="0" distB="0" distL="114300" distR="114300" simplePos="0" relativeHeight="251659264" behindDoc="0" locked="0" layoutInCell="1" allowOverlap="1" wp14:anchorId="430D7DF7" wp14:editId="78FF0D16">
            <wp:simplePos x="0" y="0"/>
            <wp:positionH relativeFrom="column">
              <wp:posOffset>2350770</wp:posOffset>
            </wp:positionH>
            <wp:positionV relativeFrom="paragraph">
              <wp:posOffset>65405</wp:posOffset>
            </wp:positionV>
            <wp:extent cx="3655060" cy="1842770"/>
            <wp:effectExtent l="0" t="0" r="2540" b="11430"/>
            <wp:wrapSquare wrapText="bothSides"/>
            <wp:docPr id="147246880" name="Picture 42395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95250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5060" cy="1842770"/>
                    </a:xfrm>
                    <a:prstGeom prst="rect">
                      <a:avLst/>
                    </a:prstGeom>
                  </pic:spPr>
                </pic:pic>
              </a:graphicData>
            </a:graphic>
            <wp14:sizeRelH relativeFrom="page">
              <wp14:pctWidth>0</wp14:pctWidth>
            </wp14:sizeRelH>
            <wp14:sizeRelV relativeFrom="page">
              <wp14:pctHeight>0</wp14:pctHeight>
            </wp14:sizeRelV>
          </wp:anchor>
        </w:drawing>
      </w:r>
      <w:r w:rsidRPr="00082E39">
        <w:rPr>
          <w:rFonts w:ascii="Corbel" w:eastAsia="Corbel" w:hAnsi="Corbel" w:cs="Corbel"/>
          <w:lang w:val="es-MX"/>
        </w:rPr>
        <w:t xml:space="preserve">los datos históricos de los retornos diarios de la acción de ISA con el índice COLCAP entre mayo de 2013 y septiembre de 2019, se calculó que el beta de la compañía es de 0,75, encontrándose en el intervalo (0,68; 0,81) con un nivel de confianza de 95%. </w:t>
      </w:r>
    </w:p>
    <w:p w14:paraId="3FF43303" w14:textId="216F2A91" w:rsidR="308641E6" w:rsidRPr="002A103F" w:rsidRDefault="00434488" w:rsidP="002A103F">
      <w:pPr>
        <w:spacing w:line="276" w:lineRule="auto"/>
        <w:jc w:val="both"/>
        <w:rPr>
          <w:rFonts w:ascii="Corbel" w:eastAsia="Corbel" w:hAnsi="Corbel" w:cs="Corbel"/>
          <w:lang w:val="es-MX"/>
        </w:rPr>
      </w:pPr>
      <w:r>
        <w:rPr>
          <w:rFonts w:ascii="Corbel" w:eastAsia="Corbel" w:hAnsi="Corbel" w:cs="Corbel"/>
          <w:noProof/>
          <w:lang w:val="es-ES_tradnl" w:eastAsia="es-ES_tradnl"/>
        </w:rPr>
        <mc:AlternateContent>
          <mc:Choice Requires="wps">
            <w:drawing>
              <wp:anchor distT="0" distB="0" distL="114300" distR="114300" simplePos="0" relativeHeight="251663360" behindDoc="0" locked="0" layoutInCell="1" allowOverlap="1" wp14:anchorId="6DC0EB34" wp14:editId="5A653317">
                <wp:simplePos x="0" y="0"/>
                <wp:positionH relativeFrom="column">
                  <wp:posOffset>2350770</wp:posOffset>
                </wp:positionH>
                <wp:positionV relativeFrom="paragraph">
                  <wp:posOffset>433705</wp:posOffset>
                </wp:positionV>
                <wp:extent cx="3654425" cy="226060"/>
                <wp:effectExtent l="0" t="0" r="0" b="2540"/>
                <wp:wrapSquare wrapText="bothSides"/>
                <wp:docPr id="2" name="Cuadro de texto 2"/>
                <wp:cNvGraphicFramePr/>
                <a:graphic xmlns:a="http://schemas.openxmlformats.org/drawingml/2006/main">
                  <a:graphicData uri="http://schemas.microsoft.com/office/word/2010/wordprocessingShape">
                    <wps:wsp>
                      <wps:cNvSpPr txBox="1"/>
                      <wps:spPr>
                        <a:xfrm>
                          <a:off x="0" y="0"/>
                          <a:ext cx="3654425" cy="226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E9CFB2" w14:textId="77777777" w:rsidR="00434488" w:rsidRPr="00434488" w:rsidRDefault="00434488" w:rsidP="00434488">
                            <w:pPr>
                              <w:jc w:val="right"/>
                              <w:rPr>
                                <w:i/>
                                <w:sz w:val="18"/>
                              </w:rPr>
                            </w:pPr>
                            <w:r w:rsidRPr="00434488">
                              <w:rPr>
                                <w:i/>
                                <w:sz w:val="18"/>
                              </w:rPr>
                              <w:t>Fuente: ISA,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0EB34" id="Cuadro de texto 2" o:spid="_x0000_s1027" type="#_x0000_t202" style="position:absolute;left:0;text-align:left;margin-left:185.1pt;margin-top:34.15pt;width:287.75pt;height:1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" filled="f" stroked="f">
                <v:textbox>
                  <w:txbxContent>
                    <w:p w14:paraId="74E9CFB2" w14:textId="77777777" w:rsidR="00434488" w:rsidRPr="00434488" w:rsidRDefault="00434488" w:rsidP="00434488">
                      <w:pPr>
                        <w:jc w:val="right"/>
                        <w:rPr>
                          <w:i/>
                          <w:sz w:val="18"/>
                        </w:rPr>
                      </w:pPr>
                      <w:r w:rsidRPr="00434488">
                        <w:rPr>
                          <w:i/>
                          <w:sz w:val="18"/>
                        </w:rPr>
                        <w:t>Fuente: ISA, 2019</w:t>
                      </w:r>
                    </w:p>
                  </w:txbxContent>
                </v:textbox>
                <w10:wrap type="square"/>
              </v:shape>
            </w:pict>
          </mc:Fallback>
        </mc:AlternateContent>
      </w:r>
      <w:r w:rsidR="40A37BDE" w:rsidRPr="00082E39">
        <w:rPr>
          <w:rFonts w:ascii="Corbel" w:eastAsia="Corbel" w:hAnsi="Corbel" w:cs="Corbel"/>
          <w:lang w:val="es-MX"/>
        </w:rPr>
        <w:t xml:space="preserve">La decisión de dividendos de la compañía se destaca en comparación con los otros emisores del país. En 2018, su </w:t>
      </w:r>
      <w:r w:rsidR="40A37BDE" w:rsidRPr="00082E39">
        <w:rPr>
          <w:rFonts w:ascii="Corbel" w:eastAsia="Corbel" w:hAnsi="Corbel" w:cs="Corbel"/>
          <w:i/>
          <w:iCs/>
          <w:lang w:val="es-MX"/>
        </w:rPr>
        <w:t xml:space="preserve">dividend yield </w:t>
      </w:r>
      <w:r w:rsidR="40A37BDE" w:rsidRPr="00082E39">
        <w:rPr>
          <w:rFonts w:ascii="Corbel" w:eastAsia="Corbel" w:hAnsi="Corbel" w:cs="Corbel"/>
          <w:lang w:val="es-MX"/>
        </w:rPr>
        <w:t>fue de 3,88%, pagando</w:t>
      </w:r>
      <w:r w:rsidR="40A37BDE" w:rsidRPr="002A103F">
        <w:rPr>
          <w:rFonts w:ascii="Corbel" w:eastAsia="Corbel" w:hAnsi="Corbel" w:cs="Corbel"/>
          <w:lang w:val="es-MX"/>
        </w:rPr>
        <w:t xml:space="preserve"> $542 pesos por acción, compuesto por $266 del dividendo ordinario y un extraordinario de $276. De esta manera, la empresa repartió el 42% de su utilidad líquida de 2017 en dividendos, y su </w:t>
      </w:r>
      <w:r w:rsidR="40A37BDE" w:rsidRPr="002A103F">
        <w:rPr>
          <w:rFonts w:ascii="Corbel" w:eastAsia="Corbel" w:hAnsi="Corbel" w:cs="Corbel"/>
          <w:i/>
          <w:iCs/>
          <w:lang w:val="es-MX"/>
        </w:rPr>
        <w:t xml:space="preserve">dividend yield </w:t>
      </w:r>
      <w:r w:rsidR="40A37BDE" w:rsidRPr="002A103F">
        <w:rPr>
          <w:rFonts w:ascii="Corbel" w:eastAsia="Corbel" w:hAnsi="Corbel" w:cs="Corbel"/>
          <w:lang w:val="es-MX"/>
        </w:rPr>
        <w:t>se encuentra por encima del promedio en Colombia, que para 2018 fue de 2,70%. Esta política de dividendos presenta nuevos incentivos para inversionistas privados interesados en adquirir las nuevas acciones que quedarán disponibles para la compra en el mercado como consecuencia del aumento del flotante.</w:t>
      </w:r>
    </w:p>
    <w:p w14:paraId="4420939C" w14:textId="0673AD2C" w:rsidR="39850DCC" w:rsidRPr="002A103F" w:rsidRDefault="39850DCC" w:rsidP="002A103F">
      <w:pPr>
        <w:spacing w:line="276" w:lineRule="auto"/>
        <w:jc w:val="both"/>
        <w:rPr>
          <w:rFonts w:ascii="Corbel" w:eastAsia="Calibri" w:hAnsi="Corbel" w:cs="Calibri"/>
          <w:lang w:val="es-MX"/>
        </w:rPr>
      </w:pPr>
      <w:r w:rsidRPr="002A103F">
        <w:rPr>
          <w:rFonts w:ascii="Corbel" w:eastAsia="Corbel" w:hAnsi="Corbel" w:cs="Corbel"/>
          <w:lang w:val="es-MX"/>
        </w:rPr>
        <w:t xml:space="preserve">En cuanto a los bonos de la compañía, ISA cuenta con el Programa de Emisión y Colocación que fue establecido desde el 2004. El programa es un esquema flexible para la compañía, puesto que le permite efectuar un registro anticipado de emisiones y le permite ampliar cupos para realizar emisiones de bonos de deuda pública dentro de un plazo establecido. El cupo ha tenido cuatro ampliaciones dando como resultado un cupo actual (2018) de seis billones quinientos mil millones de pesos colombianos. </w:t>
      </w:r>
      <w:r w:rsidRPr="002A103F">
        <w:rPr>
          <w:rFonts w:ascii="Corbel" w:eastAsia="Calibri" w:hAnsi="Corbel" w:cs="Calibri"/>
          <w:lang w:val="es-CO"/>
        </w:rPr>
        <w:t>Las decisiones de realizar la emisión de bonos son tomadas por la junta directiva y posteriormente deben ser aprobadas por el Departamento Nacional de Planeación (DNP), el Ministerio de Hacienda y Crédito Público y la Superintendencia Financiera de Colombia S.A. Según los prospectos emitidos por la compañía las principales necesidades de financiación por parte ISA son la sustitución de pasivos, flujo de caja para financiar proyectos y nuevas inversiones.</w:t>
      </w:r>
    </w:p>
    <w:p w14:paraId="18D5DF5D" w14:textId="24DFECB4" w:rsidR="39850DCC" w:rsidRPr="002A103F" w:rsidRDefault="40A37BDE" w:rsidP="002A103F">
      <w:pPr>
        <w:spacing w:line="276" w:lineRule="auto"/>
        <w:jc w:val="both"/>
        <w:rPr>
          <w:rFonts w:ascii="Corbel" w:eastAsia="Calibri" w:hAnsi="Corbel" w:cs="Calibri"/>
          <w:lang w:val="es-CO"/>
        </w:rPr>
      </w:pPr>
      <w:r w:rsidRPr="002A103F">
        <w:rPr>
          <w:rFonts w:ascii="Corbel" w:eastAsia="Calibri" w:hAnsi="Corbel" w:cs="Calibri"/>
          <w:lang w:val="es-CO"/>
        </w:rPr>
        <w:t xml:space="preserve">El 25 de julio de 2018, ISA realizó una emisión de bonos de deuda pública en serie con un monto total de COP $500.000.000. El bono contiene tres series C9 (9 años), C15 (15 años) y C25 (25 años), por ende, se entiende que el bono va dirigido al público que desee tener la rentabilidad en el largo plazo, por lo que se vuelve un valor atractivo para los fondos de pensiones y cesantías ya que no solicitan liquidez en el corto plazo. Los rendimientos para cada serie tienen como base el IPC más un spread que para cada serie son 3,49%, 3,89% y 4,07% E.A respectivamente. El monto mínimo para invertir es equivalente a 10 bonos (COP 10.000.000).  </w:t>
      </w:r>
    </w:p>
    <w:p w14:paraId="66981D2C" w14:textId="6353726C" w:rsidR="39850DCC" w:rsidRPr="002A103F" w:rsidRDefault="40A37BDE" w:rsidP="002A103F">
      <w:pPr>
        <w:spacing w:line="276" w:lineRule="auto"/>
        <w:jc w:val="both"/>
        <w:rPr>
          <w:rFonts w:ascii="Corbel" w:eastAsia="Calibri" w:hAnsi="Corbel" w:cs="Calibri"/>
          <w:lang w:val="es-CO"/>
        </w:rPr>
      </w:pPr>
      <w:r w:rsidRPr="002A103F">
        <w:rPr>
          <w:rFonts w:ascii="Corbel" w:eastAsia="Calibri" w:hAnsi="Corbel" w:cs="Calibri"/>
          <w:lang w:val="es-CO"/>
        </w:rPr>
        <w:t xml:space="preserve">Una de las filiales de ISA llamada Consorcio Transmantaro, encargada de transmitir energía. Primera empresa peruana en emitir Bonos Verdes Internacionales colocando USD 400 millones sin garantías, con un plazo de 15 años y con un interés de 4,7% y amortizaciones desde el año 11. Estos bonos son </w:t>
      </w:r>
      <w:r w:rsidR="00434488">
        <w:rPr>
          <w:noProof/>
          <w:lang w:val="es-ES_tradnl" w:eastAsia="es-ES_tradnl"/>
        </w:rPr>
        <w:lastRenderedPageBreak/>
        <w:drawing>
          <wp:anchor distT="0" distB="0" distL="114300" distR="114300" simplePos="0" relativeHeight="251660288" behindDoc="0" locked="0" layoutInCell="1" allowOverlap="1" wp14:anchorId="19AFF3E9" wp14:editId="327ABEE8">
            <wp:simplePos x="0" y="0"/>
            <wp:positionH relativeFrom="column">
              <wp:posOffset>2810767</wp:posOffset>
            </wp:positionH>
            <wp:positionV relativeFrom="paragraph">
              <wp:posOffset>365</wp:posOffset>
            </wp:positionV>
            <wp:extent cx="3202940" cy="2093595"/>
            <wp:effectExtent l="0" t="0" r="0" b="0"/>
            <wp:wrapSquare wrapText="bothSides"/>
            <wp:docPr id="968068933" name="Picture 166408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08183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2940" cy="2093595"/>
                    </a:xfrm>
                    <a:prstGeom prst="rect">
                      <a:avLst/>
                    </a:prstGeom>
                  </pic:spPr>
                </pic:pic>
              </a:graphicData>
            </a:graphic>
            <wp14:sizeRelH relativeFrom="page">
              <wp14:pctWidth>0</wp14:pctWidth>
            </wp14:sizeRelH>
            <wp14:sizeRelV relativeFrom="page">
              <wp14:pctHeight>0</wp14:pctHeight>
            </wp14:sizeRelV>
          </wp:anchor>
        </w:drawing>
      </w:r>
      <w:r w:rsidRPr="002A103F">
        <w:rPr>
          <w:rFonts w:ascii="Corbel" w:eastAsia="Calibri" w:hAnsi="Corbel" w:cs="Calibri"/>
          <w:lang w:val="es-CO"/>
        </w:rPr>
        <w:t>seccionados como bonos verdes lo que significa que la inversión que se realice con los bonos busca eficiencia energética.</w:t>
      </w:r>
    </w:p>
    <w:p w14:paraId="3FB0AF41" w14:textId="4989B857" w:rsidR="002A103F" w:rsidRDefault="00434488" w:rsidP="002A103F">
      <w:pPr>
        <w:spacing w:line="276" w:lineRule="auto"/>
        <w:jc w:val="both"/>
        <w:rPr>
          <w:rFonts w:ascii="Corbel" w:eastAsia="Calibri" w:hAnsi="Corbel" w:cs="Calibri"/>
          <w:lang w:val="es-CO"/>
        </w:rPr>
      </w:pPr>
      <w:r>
        <w:rPr>
          <w:rFonts w:ascii="Corbel" w:eastAsia="Corbel" w:hAnsi="Corbel" w:cs="Corbel"/>
          <w:noProof/>
          <w:lang w:val="es-ES_tradnl" w:eastAsia="es-ES_tradnl"/>
        </w:rPr>
        <mc:AlternateContent>
          <mc:Choice Requires="wps">
            <w:drawing>
              <wp:anchor distT="0" distB="0" distL="114300" distR="114300" simplePos="0" relativeHeight="251665408" behindDoc="0" locked="0" layoutInCell="1" allowOverlap="1" wp14:anchorId="5D8A4A36" wp14:editId="52CACCEF">
                <wp:simplePos x="0" y="0"/>
                <wp:positionH relativeFrom="column">
                  <wp:posOffset>2809240</wp:posOffset>
                </wp:positionH>
                <wp:positionV relativeFrom="paragraph">
                  <wp:posOffset>1442085</wp:posOffset>
                </wp:positionV>
                <wp:extent cx="3200400" cy="22860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3200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AE387F" w14:textId="77777777" w:rsidR="00434488" w:rsidRPr="00434488" w:rsidRDefault="00434488" w:rsidP="00434488">
                            <w:pPr>
                              <w:jc w:val="right"/>
                              <w:rPr>
                                <w:i/>
                                <w:sz w:val="18"/>
                              </w:rPr>
                            </w:pPr>
                            <w:r w:rsidRPr="00434488">
                              <w:rPr>
                                <w:i/>
                                <w:sz w:val="18"/>
                              </w:rPr>
                              <w:t>Fuente: ISA,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8A4A36" id="Cuadro de texto 3" o:spid="_x0000_s1028" type="#_x0000_t202" style="position:absolute;left:0;text-align:left;margin-left:221.2pt;margin-top:113.55pt;width:252pt;height: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" filled="f" stroked="f">
                <v:textbox>
                  <w:txbxContent>
                    <w:p w14:paraId="3EAE387F" w14:textId="77777777" w:rsidR="00434488" w:rsidRPr="00434488" w:rsidRDefault="00434488" w:rsidP="00434488">
                      <w:pPr>
                        <w:jc w:val="right"/>
                        <w:rPr>
                          <w:i/>
                          <w:sz w:val="18"/>
                        </w:rPr>
                      </w:pPr>
                      <w:r w:rsidRPr="00434488">
                        <w:rPr>
                          <w:i/>
                          <w:sz w:val="18"/>
                        </w:rPr>
                        <w:t>Fuente: ISA, 2019</w:t>
                      </w:r>
                    </w:p>
                  </w:txbxContent>
                </v:textbox>
                <w10:wrap type="square"/>
              </v:shape>
            </w:pict>
          </mc:Fallback>
        </mc:AlternateContent>
      </w:r>
      <w:r w:rsidR="40A37BDE" w:rsidRPr="002A103F">
        <w:rPr>
          <w:rFonts w:ascii="Corbel" w:eastAsia="Calibri" w:hAnsi="Corbel" w:cs="Calibri"/>
          <w:lang w:val="es-CO"/>
        </w:rPr>
        <w:t xml:space="preserve">En conclusión, se recomienda invertir en ISA debido a que es una compañía que basa su estrategia en innovación y desarrollo adaptándose al mercado en el que se desarrolla. Además, es una empresa que tiene un alto grado de madurez y estabilidad en sus flujos de caja. En cuanto a la decisión de inversión entre bonos y acciones, esta depende de la aversión al riesgo que tenga el inversionista y el plazo en el que desee recibir la rentabilidad del activo. </w:t>
      </w:r>
      <w:r w:rsidR="000C4562" w:rsidRPr="00B25269">
        <w:rPr>
          <w:rFonts w:ascii="Corbel" w:eastAsia="Calibri" w:hAnsi="Corbel" w:cs="Calibri"/>
          <w:lang w:val="es-CO"/>
        </w:rPr>
        <w:t xml:space="preserve">Se recomienda como </w:t>
      </w:r>
      <w:r w:rsidR="40A37BDE" w:rsidRPr="00B25269">
        <w:rPr>
          <w:rFonts w:ascii="Corbel" w:eastAsia="Calibri" w:hAnsi="Corbel" w:cs="Calibri"/>
          <w:lang w:val="es-CO"/>
        </w:rPr>
        <w:t>opción para realizar la inversión,</w:t>
      </w:r>
      <w:r w:rsidR="000C4562" w:rsidRPr="00B25269">
        <w:rPr>
          <w:rFonts w:ascii="Corbel" w:eastAsia="Calibri" w:hAnsi="Corbel" w:cs="Calibri"/>
          <w:lang w:val="es-CO"/>
        </w:rPr>
        <w:t xml:space="preserve"> en acciones</w:t>
      </w:r>
      <w:r w:rsidR="40A37BDE" w:rsidRPr="00B25269">
        <w:rPr>
          <w:rFonts w:ascii="Corbel" w:eastAsia="Calibri" w:hAnsi="Corbel" w:cs="Calibri"/>
          <w:lang w:val="es-CO"/>
        </w:rPr>
        <w:t xml:space="preserve"> puesto que el incremento en el precio de la acción varia en mayor medida que la rentabilida</w:t>
      </w:r>
      <w:r w:rsidR="000C4562" w:rsidRPr="00B25269">
        <w:rPr>
          <w:rFonts w:ascii="Corbel" w:eastAsia="Calibri" w:hAnsi="Corbel" w:cs="Calibri"/>
          <w:lang w:val="es-CO"/>
        </w:rPr>
        <w:t>d fija que tiene el bono, esto junto con</w:t>
      </w:r>
      <w:r w:rsidR="40A37BDE" w:rsidRPr="00B25269">
        <w:rPr>
          <w:rFonts w:ascii="Corbel" w:eastAsia="Calibri" w:hAnsi="Corbel" w:cs="Calibri"/>
          <w:lang w:val="es-CO"/>
        </w:rPr>
        <w:t xml:space="preserve"> el desempeño de la compañía en años anteriores y su iniciativa de expandir o mejorar su operación le han permitido un pago oportuno de dividendos que además tienen buena perspectiva de aumentar en un futuro. En cuanto al bono si se mira desde los ojos de los inversionistas institucionales estos optaran por un activo a largo plazo y con una rentabilidad fija que les garantice en mayor medida el pago del valor.</w:t>
      </w:r>
      <w:r w:rsidR="40A37BDE" w:rsidRPr="002A103F">
        <w:rPr>
          <w:rFonts w:ascii="Corbel" w:eastAsia="Calibri" w:hAnsi="Corbel" w:cs="Calibri"/>
          <w:lang w:val="es-CO"/>
        </w:rPr>
        <w:t xml:space="preserve"> </w:t>
      </w:r>
    </w:p>
    <w:p w14:paraId="4D12041E" w14:textId="28ECE3F6" w:rsidR="50E3E944" w:rsidRPr="00082E39" w:rsidRDefault="308641E6" w:rsidP="00082E39">
      <w:pPr>
        <w:rPr>
          <w:rFonts w:ascii="Corbel" w:eastAsia="Calibri" w:hAnsi="Corbel" w:cs="Calibri"/>
          <w:lang w:val="es-CO"/>
        </w:rPr>
      </w:pPr>
      <w:r w:rsidRPr="00082E39">
        <w:rPr>
          <w:rFonts w:ascii="Corbel" w:eastAsia="Calibri" w:hAnsi="Corbel" w:cs="Calibri"/>
          <w:lang w:val="es-CO"/>
        </w:rPr>
        <w:t xml:space="preserve">Referencias: </w:t>
      </w:r>
    </w:p>
    <w:p w14:paraId="47EEE3FA" w14:textId="3DA6DB25" w:rsidR="50E3E944" w:rsidRPr="00434488" w:rsidRDefault="308641E6" w:rsidP="00434488">
      <w:pPr>
        <w:ind w:left="851" w:hanging="851"/>
        <w:rPr>
          <w:rFonts w:ascii="Corbel" w:hAnsi="Corbel"/>
          <w:sz w:val="18"/>
          <w:lang w:val="es-CO"/>
        </w:rPr>
      </w:pPr>
      <w:r w:rsidRPr="00434488">
        <w:rPr>
          <w:rFonts w:ascii="Corbel" w:eastAsia="Calibri" w:hAnsi="Corbel" w:cs="Calibri"/>
          <w:sz w:val="18"/>
          <w:lang w:val="es-CO"/>
        </w:rPr>
        <w:t xml:space="preserve">ISA. (2019). Calificación de Riesgo, Moody´s. Obtenido de: </w:t>
      </w:r>
      <w:hyperlink r:id="rId11">
        <w:r w:rsidRPr="00434488">
          <w:rPr>
            <w:rStyle w:val="Hipervnculo"/>
            <w:rFonts w:ascii="Corbel" w:eastAsia="Calibri" w:hAnsi="Corbel" w:cs="Calibri"/>
            <w:sz w:val="18"/>
            <w:lang w:val="es-CO"/>
          </w:rPr>
          <w:t>http://www.isa.co/es/sala-de-prensa/Documents/relacion-con-inversionistas/calificacion-de-riesgo/2019/Moody´s_ISA%202019%20(TraducciónOficial).pdf</w:t>
        </w:r>
      </w:hyperlink>
    </w:p>
    <w:p w14:paraId="4C3F093D" w14:textId="75C7FE81" w:rsidR="50E3E944" w:rsidRPr="00434488" w:rsidRDefault="308641E6" w:rsidP="00434488">
      <w:pPr>
        <w:ind w:left="851" w:hanging="851"/>
        <w:rPr>
          <w:rFonts w:ascii="Corbel" w:hAnsi="Corbel"/>
          <w:sz w:val="18"/>
          <w:lang w:val="es-CO"/>
        </w:rPr>
      </w:pPr>
      <w:r w:rsidRPr="00434488">
        <w:rPr>
          <w:rFonts w:ascii="Corbel" w:eastAsia="Calibri" w:hAnsi="Corbel" w:cs="Calibri"/>
          <w:sz w:val="18"/>
          <w:lang w:val="es-CO"/>
        </w:rPr>
        <w:t>ISA. (2019). Calificación de Riesgo, Fitch Ratings. Obtenido de:</w:t>
      </w:r>
      <w:r w:rsidRPr="00434488">
        <w:rPr>
          <w:rStyle w:val="Hipervnculo"/>
          <w:rFonts w:ascii="Corbel" w:eastAsia="Calibri" w:hAnsi="Corbel" w:cs="Calibri"/>
          <w:sz w:val="18"/>
          <w:lang w:val="es-CO"/>
        </w:rPr>
        <w:t xml:space="preserve"> </w:t>
      </w:r>
      <w:hyperlink r:id="rId12">
        <w:r w:rsidRPr="00434488">
          <w:rPr>
            <w:rStyle w:val="Hipervnculo"/>
            <w:rFonts w:ascii="Corbel" w:eastAsia="Calibri" w:hAnsi="Corbel" w:cs="Calibri"/>
            <w:sz w:val="18"/>
            <w:lang w:val="es-CO"/>
          </w:rPr>
          <w:t>http://www.isa.co/es/sala-de-prensa/Documents/relacion-con-inversionistas/calificacion-de-riesgo/2019/Calificacion%20Fitch%20RatingsInterconexión%20Eléctrica2019.pdf</w:t>
        </w:r>
      </w:hyperlink>
    </w:p>
    <w:p w14:paraId="6BE1F18C" w14:textId="714B09E4" w:rsidR="50E3E944" w:rsidRPr="00434488" w:rsidRDefault="308641E6" w:rsidP="00434488">
      <w:pPr>
        <w:ind w:left="851" w:hanging="851"/>
        <w:rPr>
          <w:rFonts w:ascii="Corbel" w:hAnsi="Corbel"/>
          <w:sz w:val="18"/>
          <w:lang w:val="es-CO"/>
        </w:rPr>
      </w:pPr>
      <w:r w:rsidRPr="00434488">
        <w:rPr>
          <w:rFonts w:ascii="Corbel" w:eastAsia="Calibri" w:hAnsi="Corbel" w:cs="Calibri"/>
          <w:sz w:val="18"/>
          <w:lang w:val="es-CO"/>
        </w:rPr>
        <w:t>ISA. (2019). Presentación Corporativa. Obtenido de:</w:t>
      </w:r>
      <w:r w:rsidRPr="00434488">
        <w:rPr>
          <w:rStyle w:val="Hipervnculo"/>
          <w:rFonts w:ascii="Corbel" w:eastAsia="Calibri" w:hAnsi="Corbel" w:cs="Calibri"/>
          <w:sz w:val="18"/>
          <w:lang w:val="es-CO"/>
        </w:rPr>
        <w:t xml:space="preserve"> </w:t>
      </w:r>
      <w:hyperlink r:id="rId13">
        <w:r w:rsidRPr="00434488">
          <w:rPr>
            <w:rStyle w:val="Hipervnculo"/>
            <w:rFonts w:ascii="Corbel" w:eastAsia="Calibri" w:hAnsi="Corbel" w:cs="Calibri"/>
            <w:sz w:val="18"/>
            <w:lang w:val="es-CO"/>
          </w:rPr>
          <w:t>http://www.isa.co/es/sala-de-prensa/Documents/relacion-con-inversionistas/presentaciones-corporativas/2019/1_Presentación%20Corporativa%20Septiembre2019.pdf</w:t>
        </w:r>
      </w:hyperlink>
    </w:p>
    <w:p w14:paraId="0428D577" w14:textId="7D683F32" w:rsidR="50E3E944" w:rsidRPr="00434488" w:rsidRDefault="308641E6" w:rsidP="00434488">
      <w:pPr>
        <w:ind w:left="851" w:hanging="851"/>
        <w:rPr>
          <w:rFonts w:ascii="Corbel" w:hAnsi="Corbel"/>
          <w:sz w:val="18"/>
          <w:lang w:val="es-MX"/>
        </w:rPr>
      </w:pPr>
      <w:r w:rsidRPr="00434488">
        <w:rPr>
          <w:rFonts w:ascii="Corbel" w:eastAsia="Calibri" w:hAnsi="Corbel" w:cs="Calibri"/>
          <w:sz w:val="18"/>
          <w:lang w:val="es-CO"/>
        </w:rPr>
        <w:t>ISA. (2014). Informe Anual. Obtenido de:</w:t>
      </w:r>
      <w:r w:rsidRPr="00434488">
        <w:rPr>
          <w:rStyle w:val="Hipervnculo"/>
          <w:rFonts w:ascii="Corbel" w:eastAsia="Calibri" w:hAnsi="Corbel" w:cs="Calibri"/>
          <w:sz w:val="18"/>
          <w:lang w:val="es-CO"/>
        </w:rPr>
        <w:t xml:space="preserve"> </w:t>
      </w:r>
      <w:hyperlink r:id="rId14">
        <w:r w:rsidRPr="00434488">
          <w:rPr>
            <w:rStyle w:val="Hipervnculo"/>
            <w:rFonts w:ascii="Corbel" w:eastAsia="Calibri" w:hAnsi="Corbel" w:cs="Calibri"/>
            <w:sz w:val="18"/>
            <w:lang w:val="es-CO"/>
          </w:rPr>
          <w:t>http://www.isa.co/es/sala-de-prensa/Documents/nuestra-compania/informe-isa-2014.pdf</w:t>
        </w:r>
      </w:hyperlink>
    </w:p>
    <w:p w14:paraId="41088E71" w14:textId="01B0CDD4" w:rsidR="50E3E944" w:rsidRPr="00434488" w:rsidRDefault="308641E6" w:rsidP="00434488">
      <w:pPr>
        <w:ind w:left="851" w:hanging="851"/>
        <w:rPr>
          <w:rFonts w:ascii="Corbel" w:eastAsia="Calibri" w:hAnsi="Corbel" w:cs="Calibri"/>
          <w:sz w:val="18"/>
          <w:lang w:val="es-CO"/>
        </w:rPr>
      </w:pPr>
      <w:r w:rsidRPr="00434488">
        <w:rPr>
          <w:rFonts w:ascii="Corbel" w:eastAsia="Calibri" w:hAnsi="Corbel" w:cs="Calibri"/>
          <w:sz w:val="18"/>
          <w:lang w:val="es-CO"/>
        </w:rPr>
        <w:t>ISA. (2015). Informe Anual. Obtenido de:</w:t>
      </w:r>
      <w:r w:rsidRPr="00434488">
        <w:rPr>
          <w:rStyle w:val="Hipervnculo"/>
          <w:rFonts w:ascii="Corbel" w:eastAsia="Calibri" w:hAnsi="Corbel" w:cs="Calibri"/>
          <w:sz w:val="18"/>
          <w:lang w:val="es-CO"/>
        </w:rPr>
        <w:t xml:space="preserve"> </w:t>
      </w:r>
      <w:hyperlink r:id="rId15">
        <w:r w:rsidRPr="00434488">
          <w:rPr>
            <w:rStyle w:val="Hipervnculo"/>
            <w:rFonts w:ascii="Corbel" w:eastAsia="Calibri" w:hAnsi="Corbel" w:cs="Calibri"/>
            <w:sz w:val="18"/>
            <w:lang w:val="es-CO"/>
          </w:rPr>
          <w:t>http://www.isa.co/es/sala-de-prensa/Documents/nuestra-compania/informes-empresariales/15jun2016-reporte-integrado-de-gestion-isa-2015.pdf</w:t>
        </w:r>
      </w:hyperlink>
    </w:p>
    <w:p w14:paraId="015E74DB" w14:textId="531C13B8" w:rsidR="50E3E944" w:rsidRPr="00434488" w:rsidRDefault="308641E6" w:rsidP="00434488">
      <w:pPr>
        <w:ind w:left="851" w:hanging="851"/>
        <w:rPr>
          <w:rFonts w:ascii="Corbel" w:eastAsia="Calibri" w:hAnsi="Corbel" w:cs="Calibri"/>
          <w:sz w:val="18"/>
          <w:lang w:val="es-CO"/>
        </w:rPr>
      </w:pPr>
      <w:r w:rsidRPr="00434488">
        <w:rPr>
          <w:rFonts w:ascii="Corbel" w:eastAsia="Calibri" w:hAnsi="Corbel" w:cs="Calibri"/>
          <w:sz w:val="18"/>
          <w:lang w:val="es-CO"/>
        </w:rPr>
        <w:t>ISA. (2016). Informe Anual. Obtenido de:</w:t>
      </w:r>
      <w:r w:rsidRPr="00434488">
        <w:rPr>
          <w:rStyle w:val="Hipervnculo"/>
          <w:rFonts w:ascii="Corbel" w:eastAsia="Calibri" w:hAnsi="Corbel" w:cs="Calibri"/>
          <w:sz w:val="18"/>
          <w:lang w:val="es-CO"/>
        </w:rPr>
        <w:t xml:space="preserve"> </w:t>
      </w:r>
      <w:hyperlink r:id="rId16">
        <w:r w:rsidRPr="00434488">
          <w:rPr>
            <w:rStyle w:val="Hipervnculo"/>
            <w:rFonts w:ascii="Corbel" w:eastAsia="Calibri" w:hAnsi="Corbel" w:cs="Calibri"/>
            <w:sz w:val="18"/>
            <w:lang w:val="es-CO"/>
          </w:rPr>
          <w:t>http://www.isa.co/es/sala-de-prensa/Documents/nuestra-compania/informes-empresariales/ReporteIntegradodeGest́ionISA2016.pdf</w:t>
        </w:r>
      </w:hyperlink>
    </w:p>
    <w:p w14:paraId="4D7019D7" w14:textId="0345F150" w:rsidR="50E3E944" w:rsidRPr="00434488" w:rsidRDefault="308641E6" w:rsidP="00434488">
      <w:pPr>
        <w:ind w:left="851" w:hanging="851"/>
        <w:rPr>
          <w:rFonts w:ascii="Corbel" w:eastAsia="Calibri" w:hAnsi="Corbel" w:cs="Calibri"/>
          <w:sz w:val="18"/>
          <w:lang w:val="es-CO"/>
        </w:rPr>
      </w:pPr>
      <w:r w:rsidRPr="00434488">
        <w:rPr>
          <w:rFonts w:ascii="Corbel" w:eastAsia="Calibri" w:hAnsi="Corbel" w:cs="Calibri"/>
          <w:sz w:val="18"/>
          <w:lang w:val="es-CO"/>
        </w:rPr>
        <w:t>ISA. (2017). Informe Anual. Obtenido de:</w:t>
      </w:r>
      <w:r w:rsidRPr="00434488">
        <w:rPr>
          <w:rStyle w:val="Hipervnculo"/>
          <w:rFonts w:ascii="Corbel" w:eastAsia="Calibri" w:hAnsi="Corbel" w:cs="Calibri"/>
          <w:sz w:val="18"/>
          <w:lang w:val="es-CO"/>
        </w:rPr>
        <w:t xml:space="preserve"> </w:t>
      </w:r>
      <w:hyperlink r:id="rId17">
        <w:r w:rsidRPr="00434488">
          <w:rPr>
            <w:rStyle w:val="Hipervnculo"/>
            <w:rFonts w:ascii="Corbel" w:eastAsia="Calibri" w:hAnsi="Corbel" w:cs="Calibri"/>
            <w:sz w:val="18"/>
            <w:lang w:val="es-CO"/>
          </w:rPr>
          <w:t>http://www.isa.co/es/sala-de-prensa/Documents/nuestra-compania/informes-empresariales/Reporte%20Integrado%20ISA%202017.pdf</w:t>
        </w:r>
      </w:hyperlink>
    </w:p>
    <w:p w14:paraId="70636321" w14:textId="3508A7A3" w:rsidR="50E3E944" w:rsidRPr="00434488" w:rsidRDefault="40A37BDE" w:rsidP="00434488">
      <w:pPr>
        <w:ind w:left="851" w:hanging="851"/>
        <w:rPr>
          <w:rFonts w:ascii="Corbel" w:eastAsia="Calibri" w:hAnsi="Corbel" w:cs="Calibri"/>
          <w:sz w:val="18"/>
          <w:lang w:val="es-CO"/>
        </w:rPr>
      </w:pPr>
      <w:r w:rsidRPr="00434488">
        <w:rPr>
          <w:rFonts w:ascii="Corbel" w:eastAsia="Calibri" w:hAnsi="Corbel" w:cs="Calibri"/>
          <w:sz w:val="18"/>
          <w:lang w:val="es-CO"/>
        </w:rPr>
        <w:t>ISA. (2018). Informe Anual. Obtenido de:</w:t>
      </w:r>
      <w:r w:rsidRPr="00434488">
        <w:rPr>
          <w:rStyle w:val="Hipervnculo"/>
          <w:rFonts w:ascii="Corbel" w:eastAsia="Calibri" w:hAnsi="Corbel" w:cs="Calibri"/>
          <w:sz w:val="18"/>
          <w:lang w:val="es-CO"/>
        </w:rPr>
        <w:t xml:space="preserve"> </w:t>
      </w:r>
      <w:hyperlink r:id="rId18">
        <w:r w:rsidRPr="00434488">
          <w:rPr>
            <w:rStyle w:val="Hipervnculo"/>
            <w:rFonts w:ascii="Corbel" w:eastAsia="Calibri" w:hAnsi="Corbel" w:cs="Calibri"/>
            <w:sz w:val="18"/>
            <w:lang w:val="es-CO"/>
          </w:rPr>
          <w:t>http://www.isa.co/es/sala-de-prensa/Documents/nuestra-compania/informes-empresariales/informe%202019/Reporte%20Integrado%20ISA%202018.pdf</w:t>
        </w:r>
      </w:hyperlink>
    </w:p>
    <w:p w14:paraId="4D07236D" w14:textId="77913F38" w:rsidR="00F44A57" w:rsidRPr="00434488" w:rsidRDefault="40A37BDE" w:rsidP="00434488">
      <w:pPr>
        <w:ind w:left="851" w:hanging="851"/>
        <w:rPr>
          <w:rFonts w:ascii="Corbel" w:eastAsia="Calibri" w:hAnsi="Corbel" w:cs="Calibri"/>
          <w:sz w:val="18"/>
          <w:lang w:val="es-CO"/>
        </w:rPr>
      </w:pPr>
      <w:r w:rsidRPr="00434488">
        <w:rPr>
          <w:rFonts w:ascii="Corbel" w:eastAsia="Calibri" w:hAnsi="Corbel" w:cs="Calibri"/>
          <w:sz w:val="18"/>
          <w:lang w:val="es-CO"/>
        </w:rPr>
        <w:t xml:space="preserve">ISA. (2019). Resultados financieros. Obtenido de: </w:t>
      </w:r>
      <w:hyperlink r:id="rId19">
        <w:r w:rsidRPr="00434488">
          <w:rPr>
            <w:rStyle w:val="Hipervnculo"/>
            <w:rFonts w:ascii="Corbel" w:eastAsia="Calibri" w:hAnsi="Corbel" w:cs="Calibri"/>
            <w:sz w:val="18"/>
            <w:lang w:val="es-CO"/>
          </w:rPr>
          <w:t>http://www.isa.co/es/sala-de-prensa/Documents/relacion-con-inversionistas/Webcast/1Q2019/ISAInf1Q19_ES.PDF</w:t>
        </w:r>
      </w:hyperlink>
    </w:p>
    <w:sectPr w:rsidR="00F44A57" w:rsidRPr="00434488" w:rsidSect="002A103F">
      <w:pgSz w:w="12240" w:h="15840"/>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D0FA2" w14:textId="77777777" w:rsidR="00E04307" w:rsidRDefault="00E04307" w:rsidP="002A103F">
      <w:pPr>
        <w:spacing w:after="0" w:line="240" w:lineRule="auto"/>
      </w:pPr>
      <w:r>
        <w:separator/>
      </w:r>
    </w:p>
  </w:endnote>
  <w:endnote w:type="continuationSeparator" w:id="0">
    <w:p w14:paraId="39C815FE" w14:textId="77777777" w:rsidR="00E04307" w:rsidRDefault="00E04307" w:rsidP="002A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rbel">
    <w:panose1 w:val="020B0503020204020204"/>
    <w:charset w:val="00"/>
    <w:family w:val="auto"/>
    <w:pitch w:val="variable"/>
    <w:sig w:usb0="A00002EF" w:usb1="4000A44B"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1FD6F" w14:textId="77777777" w:rsidR="00E04307" w:rsidRDefault="00E04307" w:rsidP="002A103F">
      <w:pPr>
        <w:spacing w:after="0" w:line="240" w:lineRule="auto"/>
      </w:pPr>
      <w:r>
        <w:separator/>
      </w:r>
    </w:p>
  </w:footnote>
  <w:footnote w:type="continuationSeparator" w:id="0">
    <w:p w14:paraId="4712F012" w14:textId="77777777" w:rsidR="00E04307" w:rsidRDefault="00E04307" w:rsidP="002A103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F6E24"/>
    <w:multiLevelType w:val="hybridMultilevel"/>
    <w:tmpl w:val="75024732"/>
    <w:lvl w:ilvl="0" w:tplc="CDF23318">
      <w:start w:val="1"/>
      <w:numFmt w:val="bullet"/>
      <w:lvlText w:val=""/>
      <w:lvlJc w:val="left"/>
      <w:pPr>
        <w:ind w:left="720" w:hanging="360"/>
      </w:pPr>
      <w:rPr>
        <w:rFonts w:ascii="Symbol" w:hAnsi="Symbol" w:hint="default"/>
      </w:rPr>
    </w:lvl>
    <w:lvl w:ilvl="1" w:tplc="7FD22248">
      <w:start w:val="1"/>
      <w:numFmt w:val="bullet"/>
      <w:lvlText w:val="o"/>
      <w:lvlJc w:val="left"/>
      <w:pPr>
        <w:ind w:left="1440" w:hanging="360"/>
      </w:pPr>
      <w:rPr>
        <w:rFonts w:ascii="Courier New" w:hAnsi="Courier New" w:hint="default"/>
      </w:rPr>
    </w:lvl>
    <w:lvl w:ilvl="2" w:tplc="7E1C5C5C">
      <w:start w:val="1"/>
      <w:numFmt w:val="bullet"/>
      <w:lvlText w:val=""/>
      <w:lvlJc w:val="left"/>
      <w:pPr>
        <w:ind w:left="2160" w:hanging="360"/>
      </w:pPr>
      <w:rPr>
        <w:rFonts w:ascii="Wingdings" w:hAnsi="Wingdings" w:hint="default"/>
      </w:rPr>
    </w:lvl>
    <w:lvl w:ilvl="3" w:tplc="D3BEAC32">
      <w:start w:val="1"/>
      <w:numFmt w:val="bullet"/>
      <w:lvlText w:val=""/>
      <w:lvlJc w:val="left"/>
      <w:pPr>
        <w:ind w:left="2880" w:hanging="360"/>
      </w:pPr>
      <w:rPr>
        <w:rFonts w:ascii="Symbol" w:hAnsi="Symbol" w:hint="default"/>
      </w:rPr>
    </w:lvl>
    <w:lvl w:ilvl="4" w:tplc="7ED4FEE0">
      <w:start w:val="1"/>
      <w:numFmt w:val="bullet"/>
      <w:lvlText w:val="o"/>
      <w:lvlJc w:val="left"/>
      <w:pPr>
        <w:ind w:left="3600" w:hanging="360"/>
      </w:pPr>
      <w:rPr>
        <w:rFonts w:ascii="Courier New" w:hAnsi="Courier New" w:hint="default"/>
      </w:rPr>
    </w:lvl>
    <w:lvl w:ilvl="5" w:tplc="7FC06F56">
      <w:start w:val="1"/>
      <w:numFmt w:val="bullet"/>
      <w:lvlText w:val=""/>
      <w:lvlJc w:val="left"/>
      <w:pPr>
        <w:ind w:left="4320" w:hanging="360"/>
      </w:pPr>
      <w:rPr>
        <w:rFonts w:ascii="Wingdings" w:hAnsi="Wingdings" w:hint="default"/>
      </w:rPr>
    </w:lvl>
    <w:lvl w:ilvl="6" w:tplc="CFA2307C">
      <w:start w:val="1"/>
      <w:numFmt w:val="bullet"/>
      <w:lvlText w:val=""/>
      <w:lvlJc w:val="left"/>
      <w:pPr>
        <w:ind w:left="5040" w:hanging="360"/>
      </w:pPr>
      <w:rPr>
        <w:rFonts w:ascii="Symbol" w:hAnsi="Symbol" w:hint="default"/>
      </w:rPr>
    </w:lvl>
    <w:lvl w:ilvl="7" w:tplc="950EAAE6">
      <w:start w:val="1"/>
      <w:numFmt w:val="bullet"/>
      <w:lvlText w:val="o"/>
      <w:lvlJc w:val="left"/>
      <w:pPr>
        <w:ind w:left="5760" w:hanging="360"/>
      </w:pPr>
      <w:rPr>
        <w:rFonts w:ascii="Courier New" w:hAnsi="Courier New" w:hint="default"/>
      </w:rPr>
    </w:lvl>
    <w:lvl w:ilvl="8" w:tplc="DC0C53B4">
      <w:start w:val="1"/>
      <w:numFmt w:val="bullet"/>
      <w:lvlText w:val=""/>
      <w:lvlJc w:val="left"/>
      <w:pPr>
        <w:ind w:left="6480" w:hanging="360"/>
      </w:pPr>
      <w:rPr>
        <w:rFonts w:ascii="Wingdings" w:hAnsi="Wingdings" w:hint="default"/>
      </w:rPr>
    </w:lvl>
  </w:abstractNum>
  <w:abstractNum w:abstractNumId="1">
    <w:nsid w:val="1B955D5A"/>
    <w:multiLevelType w:val="hybridMultilevel"/>
    <w:tmpl w:val="31C4BA1A"/>
    <w:lvl w:ilvl="0" w:tplc="1F66ED98">
      <w:start w:val="1"/>
      <w:numFmt w:val="bullet"/>
      <w:lvlText w:val=""/>
      <w:lvlJc w:val="left"/>
      <w:pPr>
        <w:ind w:left="720" w:hanging="360"/>
      </w:pPr>
      <w:rPr>
        <w:rFonts w:ascii="Symbol" w:hAnsi="Symbol" w:hint="default"/>
      </w:rPr>
    </w:lvl>
    <w:lvl w:ilvl="1" w:tplc="8F9857F0">
      <w:start w:val="1"/>
      <w:numFmt w:val="bullet"/>
      <w:lvlText w:val="o"/>
      <w:lvlJc w:val="left"/>
      <w:pPr>
        <w:ind w:left="1440" w:hanging="360"/>
      </w:pPr>
      <w:rPr>
        <w:rFonts w:ascii="Courier New" w:hAnsi="Courier New" w:hint="default"/>
      </w:rPr>
    </w:lvl>
    <w:lvl w:ilvl="2" w:tplc="2AA6A6FC">
      <w:start w:val="1"/>
      <w:numFmt w:val="bullet"/>
      <w:lvlText w:val=""/>
      <w:lvlJc w:val="left"/>
      <w:pPr>
        <w:ind w:left="2160" w:hanging="360"/>
      </w:pPr>
      <w:rPr>
        <w:rFonts w:ascii="Wingdings" w:hAnsi="Wingdings" w:hint="default"/>
      </w:rPr>
    </w:lvl>
    <w:lvl w:ilvl="3" w:tplc="7C84390E">
      <w:start w:val="1"/>
      <w:numFmt w:val="bullet"/>
      <w:lvlText w:val=""/>
      <w:lvlJc w:val="left"/>
      <w:pPr>
        <w:ind w:left="2880" w:hanging="360"/>
      </w:pPr>
      <w:rPr>
        <w:rFonts w:ascii="Symbol" w:hAnsi="Symbol" w:hint="default"/>
      </w:rPr>
    </w:lvl>
    <w:lvl w:ilvl="4" w:tplc="33C4658A">
      <w:start w:val="1"/>
      <w:numFmt w:val="bullet"/>
      <w:lvlText w:val="o"/>
      <w:lvlJc w:val="left"/>
      <w:pPr>
        <w:ind w:left="3600" w:hanging="360"/>
      </w:pPr>
      <w:rPr>
        <w:rFonts w:ascii="Courier New" w:hAnsi="Courier New" w:hint="default"/>
      </w:rPr>
    </w:lvl>
    <w:lvl w:ilvl="5" w:tplc="F75654E8">
      <w:start w:val="1"/>
      <w:numFmt w:val="bullet"/>
      <w:lvlText w:val=""/>
      <w:lvlJc w:val="left"/>
      <w:pPr>
        <w:ind w:left="4320" w:hanging="360"/>
      </w:pPr>
      <w:rPr>
        <w:rFonts w:ascii="Wingdings" w:hAnsi="Wingdings" w:hint="default"/>
      </w:rPr>
    </w:lvl>
    <w:lvl w:ilvl="6" w:tplc="B9A688DA">
      <w:start w:val="1"/>
      <w:numFmt w:val="bullet"/>
      <w:lvlText w:val=""/>
      <w:lvlJc w:val="left"/>
      <w:pPr>
        <w:ind w:left="5040" w:hanging="360"/>
      </w:pPr>
      <w:rPr>
        <w:rFonts w:ascii="Symbol" w:hAnsi="Symbol" w:hint="default"/>
      </w:rPr>
    </w:lvl>
    <w:lvl w:ilvl="7" w:tplc="88FA564A">
      <w:start w:val="1"/>
      <w:numFmt w:val="bullet"/>
      <w:lvlText w:val="o"/>
      <w:lvlJc w:val="left"/>
      <w:pPr>
        <w:ind w:left="5760" w:hanging="360"/>
      </w:pPr>
      <w:rPr>
        <w:rFonts w:ascii="Courier New" w:hAnsi="Courier New" w:hint="default"/>
      </w:rPr>
    </w:lvl>
    <w:lvl w:ilvl="8" w:tplc="EF0E8884">
      <w:start w:val="1"/>
      <w:numFmt w:val="bullet"/>
      <w:lvlText w:val=""/>
      <w:lvlJc w:val="left"/>
      <w:pPr>
        <w:ind w:left="6480" w:hanging="360"/>
      </w:pPr>
      <w:rPr>
        <w:rFonts w:ascii="Wingdings" w:hAnsi="Wingdings" w:hint="default"/>
      </w:rPr>
    </w:lvl>
  </w:abstractNum>
  <w:abstractNum w:abstractNumId="2">
    <w:nsid w:val="302B1B8D"/>
    <w:multiLevelType w:val="hybridMultilevel"/>
    <w:tmpl w:val="FFFFFFFF"/>
    <w:lvl w:ilvl="0" w:tplc="5CE642DE">
      <w:start w:val="1"/>
      <w:numFmt w:val="bullet"/>
      <w:lvlText w:val=""/>
      <w:lvlJc w:val="left"/>
      <w:pPr>
        <w:ind w:left="720" w:hanging="360"/>
      </w:pPr>
      <w:rPr>
        <w:rFonts w:ascii="Symbol" w:hAnsi="Symbol" w:hint="default"/>
      </w:rPr>
    </w:lvl>
    <w:lvl w:ilvl="1" w:tplc="D2906AE2">
      <w:start w:val="1"/>
      <w:numFmt w:val="bullet"/>
      <w:lvlText w:val="o"/>
      <w:lvlJc w:val="left"/>
      <w:pPr>
        <w:ind w:left="1440" w:hanging="360"/>
      </w:pPr>
      <w:rPr>
        <w:rFonts w:ascii="Courier New" w:hAnsi="Courier New" w:hint="default"/>
      </w:rPr>
    </w:lvl>
    <w:lvl w:ilvl="2" w:tplc="D2E058F6">
      <w:start w:val="1"/>
      <w:numFmt w:val="bullet"/>
      <w:lvlText w:val=""/>
      <w:lvlJc w:val="left"/>
      <w:pPr>
        <w:ind w:left="2160" w:hanging="360"/>
      </w:pPr>
      <w:rPr>
        <w:rFonts w:ascii="Wingdings" w:hAnsi="Wingdings" w:hint="default"/>
      </w:rPr>
    </w:lvl>
    <w:lvl w:ilvl="3" w:tplc="35AC6842">
      <w:start w:val="1"/>
      <w:numFmt w:val="bullet"/>
      <w:lvlText w:val=""/>
      <w:lvlJc w:val="left"/>
      <w:pPr>
        <w:ind w:left="2880" w:hanging="360"/>
      </w:pPr>
      <w:rPr>
        <w:rFonts w:ascii="Symbol" w:hAnsi="Symbol" w:hint="default"/>
      </w:rPr>
    </w:lvl>
    <w:lvl w:ilvl="4" w:tplc="3E3A9F4C">
      <w:start w:val="1"/>
      <w:numFmt w:val="bullet"/>
      <w:lvlText w:val="o"/>
      <w:lvlJc w:val="left"/>
      <w:pPr>
        <w:ind w:left="3600" w:hanging="360"/>
      </w:pPr>
      <w:rPr>
        <w:rFonts w:ascii="Courier New" w:hAnsi="Courier New" w:hint="default"/>
      </w:rPr>
    </w:lvl>
    <w:lvl w:ilvl="5" w:tplc="CF6E4880">
      <w:start w:val="1"/>
      <w:numFmt w:val="bullet"/>
      <w:lvlText w:val=""/>
      <w:lvlJc w:val="left"/>
      <w:pPr>
        <w:ind w:left="4320" w:hanging="360"/>
      </w:pPr>
      <w:rPr>
        <w:rFonts w:ascii="Wingdings" w:hAnsi="Wingdings" w:hint="default"/>
      </w:rPr>
    </w:lvl>
    <w:lvl w:ilvl="6" w:tplc="C50A89D8">
      <w:start w:val="1"/>
      <w:numFmt w:val="bullet"/>
      <w:lvlText w:val=""/>
      <w:lvlJc w:val="left"/>
      <w:pPr>
        <w:ind w:left="5040" w:hanging="360"/>
      </w:pPr>
      <w:rPr>
        <w:rFonts w:ascii="Symbol" w:hAnsi="Symbol" w:hint="default"/>
      </w:rPr>
    </w:lvl>
    <w:lvl w:ilvl="7" w:tplc="B0DEBF14">
      <w:start w:val="1"/>
      <w:numFmt w:val="bullet"/>
      <w:lvlText w:val="o"/>
      <w:lvlJc w:val="left"/>
      <w:pPr>
        <w:ind w:left="5760" w:hanging="360"/>
      </w:pPr>
      <w:rPr>
        <w:rFonts w:ascii="Courier New" w:hAnsi="Courier New" w:hint="default"/>
      </w:rPr>
    </w:lvl>
    <w:lvl w:ilvl="8" w:tplc="D734802A">
      <w:start w:val="1"/>
      <w:numFmt w:val="bullet"/>
      <w:lvlText w:val=""/>
      <w:lvlJc w:val="left"/>
      <w:pPr>
        <w:ind w:left="6480" w:hanging="360"/>
      </w:pPr>
      <w:rPr>
        <w:rFonts w:ascii="Wingdings" w:hAnsi="Wingdings" w:hint="default"/>
      </w:rPr>
    </w:lvl>
  </w:abstractNum>
  <w:abstractNum w:abstractNumId="3">
    <w:nsid w:val="3E7975D2"/>
    <w:multiLevelType w:val="hybridMultilevel"/>
    <w:tmpl w:val="86DE5876"/>
    <w:lvl w:ilvl="0" w:tplc="251ACCBC">
      <w:start w:val="1"/>
      <w:numFmt w:val="decimal"/>
      <w:lvlText w:val="%1."/>
      <w:lvlJc w:val="left"/>
      <w:pPr>
        <w:ind w:left="720" w:hanging="360"/>
      </w:pPr>
    </w:lvl>
    <w:lvl w:ilvl="1" w:tplc="D8DAA9E2">
      <w:start w:val="1"/>
      <w:numFmt w:val="lowerLetter"/>
      <w:lvlText w:val="%2."/>
      <w:lvlJc w:val="left"/>
      <w:pPr>
        <w:ind w:left="1440" w:hanging="360"/>
      </w:pPr>
    </w:lvl>
    <w:lvl w:ilvl="2" w:tplc="CDAE147A">
      <w:start w:val="1"/>
      <w:numFmt w:val="lowerRoman"/>
      <w:lvlText w:val="%3."/>
      <w:lvlJc w:val="right"/>
      <w:pPr>
        <w:ind w:left="2160" w:hanging="180"/>
      </w:pPr>
    </w:lvl>
    <w:lvl w:ilvl="3" w:tplc="150E1D28">
      <w:start w:val="1"/>
      <w:numFmt w:val="decimal"/>
      <w:lvlText w:val="%4."/>
      <w:lvlJc w:val="left"/>
      <w:pPr>
        <w:ind w:left="2880" w:hanging="360"/>
      </w:pPr>
    </w:lvl>
    <w:lvl w:ilvl="4" w:tplc="0A40B718">
      <w:start w:val="1"/>
      <w:numFmt w:val="lowerLetter"/>
      <w:lvlText w:val="%5."/>
      <w:lvlJc w:val="left"/>
      <w:pPr>
        <w:ind w:left="3600" w:hanging="360"/>
      </w:pPr>
    </w:lvl>
    <w:lvl w:ilvl="5" w:tplc="A306BFEA">
      <w:start w:val="1"/>
      <w:numFmt w:val="lowerRoman"/>
      <w:lvlText w:val="%6."/>
      <w:lvlJc w:val="right"/>
      <w:pPr>
        <w:ind w:left="4320" w:hanging="180"/>
      </w:pPr>
    </w:lvl>
    <w:lvl w:ilvl="6" w:tplc="1D88413A">
      <w:start w:val="1"/>
      <w:numFmt w:val="decimal"/>
      <w:lvlText w:val="%7."/>
      <w:lvlJc w:val="left"/>
      <w:pPr>
        <w:ind w:left="5040" w:hanging="360"/>
      </w:pPr>
    </w:lvl>
    <w:lvl w:ilvl="7" w:tplc="AC3632B8">
      <w:start w:val="1"/>
      <w:numFmt w:val="lowerLetter"/>
      <w:lvlText w:val="%8."/>
      <w:lvlJc w:val="left"/>
      <w:pPr>
        <w:ind w:left="5760" w:hanging="360"/>
      </w:pPr>
    </w:lvl>
    <w:lvl w:ilvl="8" w:tplc="2E62D70E">
      <w:start w:val="1"/>
      <w:numFmt w:val="lowerRoman"/>
      <w:lvlText w:val="%9."/>
      <w:lvlJc w:val="right"/>
      <w:pPr>
        <w:ind w:left="6480" w:hanging="180"/>
      </w:pPr>
    </w:lvl>
  </w:abstractNum>
  <w:abstractNum w:abstractNumId="4">
    <w:nsid w:val="3EE81CE4"/>
    <w:multiLevelType w:val="hybridMultilevel"/>
    <w:tmpl w:val="FFFFFFFF"/>
    <w:lvl w:ilvl="0" w:tplc="2A660972">
      <w:start w:val="1"/>
      <w:numFmt w:val="bullet"/>
      <w:lvlText w:val=""/>
      <w:lvlJc w:val="left"/>
      <w:pPr>
        <w:ind w:left="720" w:hanging="360"/>
      </w:pPr>
      <w:rPr>
        <w:rFonts w:ascii="Symbol" w:hAnsi="Symbol" w:hint="default"/>
      </w:rPr>
    </w:lvl>
    <w:lvl w:ilvl="1" w:tplc="D67A81CC">
      <w:start w:val="1"/>
      <w:numFmt w:val="bullet"/>
      <w:lvlText w:val="o"/>
      <w:lvlJc w:val="left"/>
      <w:pPr>
        <w:ind w:left="1440" w:hanging="360"/>
      </w:pPr>
      <w:rPr>
        <w:rFonts w:ascii="Courier New" w:hAnsi="Courier New" w:hint="default"/>
      </w:rPr>
    </w:lvl>
    <w:lvl w:ilvl="2" w:tplc="E96A2FF2">
      <w:start w:val="1"/>
      <w:numFmt w:val="bullet"/>
      <w:lvlText w:val=""/>
      <w:lvlJc w:val="left"/>
      <w:pPr>
        <w:ind w:left="2160" w:hanging="360"/>
      </w:pPr>
      <w:rPr>
        <w:rFonts w:ascii="Wingdings" w:hAnsi="Wingdings" w:hint="default"/>
      </w:rPr>
    </w:lvl>
    <w:lvl w:ilvl="3" w:tplc="CE58B506">
      <w:start w:val="1"/>
      <w:numFmt w:val="bullet"/>
      <w:lvlText w:val=""/>
      <w:lvlJc w:val="left"/>
      <w:pPr>
        <w:ind w:left="2880" w:hanging="360"/>
      </w:pPr>
      <w:rPr>
        <w:rFonts w:ascii="Symbol" w:hAnsi="Symbol" w:hint="default"/>
      </w:rPr>
    </w:lvl>
    <w:lvl w:ilvl="4" w:tplc="597C7354">
      <w:start w:val="1"/>
      <w:numFmt w:val="bullet"/>
      <w:lvlText w:val="o"/>
      <w:lvlJc w:val="left"/>
      <w:pPr>
        <w:ind w:left="3600" w:hanging="360"/>
      </w:pPr>
      <w:rPr>
        <w:rFonts w:ascii="Courier New" w:hAnsi="Courier New" w:hint="default"/>
      </w:rPr>
    </w:lvl>
    <w:lvl w:ilvl="5" w:tplc="E9621B6A">
      <w:start w:val="1"/>
      <w:numFmt w:val="bullet"/>
      <w:lvlText w:val=""/>
      <w:lvlJc w:val="left"/>
      <w:pPr>
        <w:ind w:left="4320" w:hanging="360"/>
      </w:pPr>
      <w:rPr>
        <w:rFonts w:ascii="Wingdings" w:hAnsi="Wingdings" w:hint="default"/>
      </w:rPr>
    </w:lvl>
    <w:lvl w:ilvl="6" w:tplc="04D4B984">
      <w:start w:val="1"/>
      <w:numFmt w:val="bullet"/>
      <w:lvlText w:val=""/>
      <w:lvlJc w:val="left"/>
      <w:pPr>
        <w:ind w:left="5040" w:hanging="360"/>
      </w:pPr>
      <w:rPr>
        <w:rFonts w:ascii="Symbol" w:hAnsi="Symbol" w:hint="default"/>
      </w:rPr>
    </w:lvl>
    <w:lvl w:ilvl="7" w:tplc="9064CDF8">
      <w:start w:val="1"/>
      <w:numFmt w:val="bullet"/>
      <w:lvlText w:val="o"/>
      <w:lvlJc w:val="left"/>
      <w:pPr>
        <w:ind w:left="5760" w:hanging="360"/>
      </w:pPr>
      <w:rPr>
        <w:rFonts w:ascii="Courier New" w:hAnsi="Courier New" w:hint="default"/>
      </w:rPr>
    </w:lvl>
    <w:lvl w:ilvl="8" w:tplc="624EEA48">
      <w:start w:val="1"/>
      <w:numFmt w:val="bullet"/>
      <w:lvlText w:val=""/>
      <w:lvlJc w:val="left"/>
      <w:pPr>
        <w:ind w:left="6480" w:hanging="360"/>
      </w:pPr>
      <w:rPr>
        <w:rFonts w:ascii="Wingdings" w:hAnsi="Wingdings" w:hint="default"/>
      </w:rPr>
    </w:lvl>
  </w:abstractNum>
  <w:abstractNum w:abstractNumId="5">
    <w:nsid w:val="57D1396D"/>
    <w:multiLevelType w:val="hybridMultilevel"/>
    <w:tmpl w:val="860E56A8"/>
    <w:lvl w:ilvl="0" w:tplc="022221F4">
      <w:start w:val="1"/>
      <w:numFmt w:val="bullet"/>
      <w:lvlText w:val=""/>
      <w:lvlJc w:val="left"/>
      <w:pPr>
        <w:ind w:left="720" w:hanging="360"/>
      </w:pPr>
      <w:rPr>
        <w:rFonts w:ascii="Symbol" w:hAnsi="Symbol" w:hint="default"/>
      </w:rPr>
    </w:lvl>
    <w:lvl w:ilvl="1" w:tplc="F9EC7B8C">
      <w:start w:val="1"/>
      <w:numFmt w:val="bullet"/>
      <w:lvlText w:val="o"/>
      <w:lvlJc w:val="left"/>
      <w:pPr>
        <w:ind w:left="1440" w:hanging="360"/>
      </w:pPr>
      <w:rPr>
        <w:rFonts w:ascii="Courier New" w:hAnsi="Courier New" w:hint="default"/>
      </w:rPr>
    </w:lvl>
    <w:lvl w:ilvl="2" w:tplc="13BA20E2">
      <w:start w:val="1"/>
      <w:numFmt w:val="bullet"/>
      <w:lvlText w:val=""/>
      <w:lvlJc w:val="left"/>
      <w:pPr>
        <w:ind w:left="2160" w:hanging="360"/>
      </w:pPr>
      <w:rPr>
        <w:rFonts w:ascii="Wingdings" w:hAnsi="Wingdings" w:hint="default"/>
      </w:rPr>
    </w:lvl>
    <w:lvl w:ilvl="3" w:tplc="F5A8C61A">
      <w:start w:val="1"/>
      <w:numFmt w:val="bullet"/>
      <w:lvlText w:val=""/>
      <w:lvlJc w:val="left"/>
      <w:pPr>
        <w:ind w:left="2880" w:hanging="360"/>
      </w:pPr>
      <w:rPr>
        <w:rFonts w:ascii="Symbol" w:hAnsi="Symbol" w:hint="default"/>
      </w:rPr>
    </w:lvl>
    <w:lvl w:ilvl="4" w:tplc="6AFCE07E">
      <w:start w:val="1"/>
      <w:numFmt w:val="bullet"/>
      <w:lvlText w:val="o"/>
      <w:lvlJc w:val="left"/>
      <w:pPr>
        <w:ind w:left="3600" w:hanging="360"/>
      </w:pPr>
      <w:rPr>
        <w:rFonts w:ascii="Courier New" w:hAnsi="Courier New" w:hint="default"/>
      </w:rPr>
    </w:lvl>
    <w:lvl w:ilvl="5" w:tplc="FCA4AA58">
      <w:start w:val="1"/>
      <w:numFmt w:val="bullet"/>
      <w:lvlText w:val=""/>
      <w:lvlJc w:val="left"/>
      <w:pPr>
        <w:ind w:left="4320" w:hanging="360"/>
      </w:pPr>
      <w:rPr>
        <w:rFonts w:ascii="Wingdings" w:hAnsi="Wingdings" w:hint="default"/>
      </w:rPr>
    </w:lvl>
    <w:lvl w:ilvl="6" w:tplc="6CAA223C">
      <w:start w:val="1"/>
      <w:numFmt w:val="bullet"/>
      <w:lvlText w:val=""/>
      <w:lvlJc w:val="left"/>
      <w:pPr>
        <w:ind w:left="5040" w:hanging="360"/>
      </w:pPr>
      <w:rPr>
        <w:rFonts w:ascii="Symbol" w:hAnsi="Symbol" w:hint="default"/>
      </w:rPr>
    </w:lvl>
    <w:lvl w:ilvl="7" w:tplc="D2FE03EA">
      <w:start w:val="1"/>
      <w:numFmt w:val="bullet"/>
      <w:lvlText w:val="o"/>
      <w:lvlJc w:val="left"/>
      <w:pPr>
        <w:ind w:left="5760" w:hanging="360"/>
      </w:pPr>
      <w:rPr>
        <w:rFonts w:ascii="Courier New" w:hAnsi="Courier New" w:hint="default"/>
      </w:rPr>
    </w:lvl>
    <w:lvl w:ilvl="8" w:tplc="9C54F2DA">
      <w:start w:val="1"/>
      <w:numFmt w:val="bullet"/>
      <w:lvlText w:val=""/>
      <w:lvlJc w:val="left"/>
      <w:pPr>
        <w:ind w:left="6480" w:hanging="360"/>
      </w:pPr>
      <w:rPr>
        <w:rFonts w:ascii="Wingdings" w:hAnsi="Wingdings" w:hint="default"/>
      </w:rPr>
    </w:lvl>
  </w:abstractNum>
  <w:abstractNum w:abstractNumId="6">
    <w:nsid w:val="5CD94CF8"/>
    <w:multiLevelType w:val="hybridMultilevel"/>
    <w:tmpl w:val="FFFFFFFF"/>
    <w:lvl w:ilvl="0" w:tplc="00609D5C">
      <w:start w:val="1"/>
      <w:numFmt w:val="bullet"/>
      <w:lvlText w:val=""/>
      <w:lvlJc w:val="left"/>
      <w:pPr>
        <w:ind w:left="720" w:hanging="360"/>
      </w:pPr>
      <w:rPr>
        <w:rFonts w:ascii="Symbol" w:hAnsi="Symbol" w:hint="default"/>
      </w:rPr>
    </w:lvl>
    <w:lvl w:ilvl="1" w:tplc="7DDA88D2">
      <w:start w:val="1"/>
      <w:numFmt w:val="bullet"/>
      <w:lvlText w:val="o"/>
      <w:lvlJc w:val="left"/>
      <w:pPr>
        <w:ind w:left="1440" w:hanging="360"/>
      </w:pPr>
      <w:rPr>
        <w:rFonts w:ascii="Courier New" w:hAnsi="Courier New" w:hint="default"/>
      </w:rPr>
    </w:lvl>
    <w:lvl w:ilvl="2" w:tplc="8A9AA448">
      <w:start w:val="1"/>
      <w:numFmt w:val="bullet"/>
      <w:lvlText w:val=""/>
      <w:lvlJc w:val="left"/>
      <w:pPr>
        <w:ind w:left="2160" w:hanging="360"/>
      </w:pPr>
      <w:rPr>
        <w:rFonts w:ascii="Wingdings" w:hAnsi="Wingdings" w:hint="default"/>
      </w:rPr>
    </w:lvl>
    <w:lvl w:ilvl="3" w:tplc="EDD0EE6A">
      <w:start w:val="1"/>
      <w:numFmt w:val="bullet"/>
      <w:lvlText w:val=""/>
      <w:lvlJc w:val="left"/>
      <w:pPr>
        <w:ind w:left="2880" w:hanging="360"/>
      </w:pPr>
      <w:rPr>
        <w:rFonts w:ascii="Symbol" w:hAnsi="Symbol" w:hint="default"/>
      </w:rPr>
    </w:lvl>
    <w:lvl w:ilvl="4" w:tplc="0F14E1FE">
      <w:start w:val="1"/>
      <w:numFmt w:val="bullet"/>
      <w:lvlText w:val="o"/>
      <w:lvlJc w:val="left"/>
      <w:pPr>
        <w:ind w:left="3600" w:hanging="360"/>
      </w:pPr>
      <w:rPr>
        <w:rFonts w:ascii="Courier New" w:hAnsi="Courier New" w:hint="default"/>
      </w:rPr>
    </w:lvl>
    <w:lvl w:ilvl="5" w:tplc="7A440548">
      <w:start w:val="1"/>
      <w:numFmt w:val="bullet"/>
      <w:lvlText w:val=""/>
      <w:lvlJc w:val="left"/>
      <w:pPr>
        <w:ind w:left="4320" w:hanging="360"/>
      </w:pPr>
      <w:rPr>
        <w:rFonts w:ascii="Wingdings" w:hAnsi="Wingdings" w:hint="default"/>
      </w:rPr>
    </w:lvl>
    <w:lvl w:ilvl="6" w:tplc="E9E6DBFE">
      <w:start w:val="1"/>
      <w:numFmt w:val="bullet"/>
      <w:lvlText w:val=""/>
      <w:lvlJc w:val="left"/>
      <w:pPr>
        <w:ind w:left="5040" w:hanging="360"/>
      </w:pPr>
      <w:rPr>
        <w:rFonts w:ascii="Symbol" w:hAnsi="Symbol" w:hint="default"/>
      </w:rPr>
    </w:lvl>
    <w:lvl w:ilvl="7" w:tplc="6400AE5A">
      <w:start w:val="1"/>
      <w:numFmt w:val="bullet"/>
      <w:lvlText w:val="o"/>
      <w:lvlJc w:val="left"/>
      <w:pPr>
        <w:ind w:left="5760" w:hanging="360"/>
      </w:pPr>
      <w:rPr>
        <w:rFonts w:ascii="Courier New" w:hAnsi="Courier New" w:hint="default"/>
      </w:rPr>
    </w:lvl>
    <w:lvl w:ilvl="8" w:tplc="5DF2AB48">
      <w:start w:val="1"/>
      <w:numFmt w:val="bullet"/>
      <w:lvlText w:val=""/>
      <w:lvlJc w:val="left"/>
      <w:pPr>
        <w:ind w:left="6480" w:hanging="360"/>
      </w:pPr>
      <w:rPr>
        <w:rFonts w:ascii="Wingdings" w:hAnsi="Wingdings" w:hint="default"/>
      </w:rPr>
    </w:lvl>
  </w:abstractNum>
  <w:abstractNum w:abstractNumId="7">
    <w:nsid w:val="73880B0E"/>
    <w:multiLevelType w:val="hybridMultilevel"/>
    <w:tmpl w:val="FFFFFFFF"/>
    <w:lvl w:ilvl="0" w:tplc="76BA2B46">
      <w:start w:val="1"/>
      <w:numFmt w:val="bullet"/>
      <w:lvlText w:val=""/>
      <w:lvlJc w:val="left"/>
      <w:pPr>
        <w:ind w:left="720" w:hanging="360"/>
      </w:pPr>
      <w:rPr>
        <w:rFonts w:ascii="Symbol" w:hAnsi="Symbol" w:hint="default"/>
      </w:rPr>
    </w:lvl>
    <w:lvl w:ilvl="1" w:tplc="ABF8D110">
      <w:start w:val="1"/>
      <w:numFmt w:val="bullet"/>
      <w:lvlText w:val="o"/>
      <w:lvlJc w:val="left"/>
      <w:pPr>
        <w:ind w:left="1440" w:hanging="360"/>
      </w:pPr>
      <w:rPr>
        <w:rFonts w:ascii="Courier New" w:hAnsi="Courier New" w:hint="default"/>
      </w:rPr>
    </w:lvl>
    <w:lvl w:ilvl="2" w:tplc="DB84E72A">
      <w:start w:val="1"/>
      <w:numFmt w:val="bullet"/>
      <w:lvlText w:val=""/>
      <w:lvlJc w:val="left"/>
      <w:pPr>
        <w:ind w:left="2160" w:hanging="360"/>
      </w:pPr>
      <w:rPr>
        <w:rFonts w:ascii="Wingdings" w:hAnsi="Wingdings" w:hint="default"/>
      </w:rPr>
    </w:lvl>
    <w:lvl w:ilvl="3" w:tplc="FD22B246">
      <w:start w:val="1"/>
      <w:numFmt w:val="bullet"/>
      <w:lvlText w:val=""/>
      <w:lvlJc w:val="left"/>
      <w:pPr>
        <w:ind w:left="2880" w:hanging="360"/>
      </w:pPr>
      <w:rPr>
        <w:rFonts w:ascii="Symbol" w:hAnsi="Symbol" w:hint="default"/>
      </w:rPr>
    </w:lvl>
    <w:lvl w:ilvl="4" w:tplc="CB4E06F8">
      <w:start w:val="1"/>
      <w:numFmt w:val="bullet"/>
      <w:lvlText w:val="o"/>
      <w:lvlJc w:val="left"/>
      <w:pPr>
        <w:ind w:left="3600" w:hanging="360"/>
      </w:pPr>
      <w:rPr>
        <w:rFonts w:ascii="Courier New" w:hAnsi="Courier New" w:hint="default"/>
      </w:rPr>
    </w:lvl>
    <w:lvl w:ilvl="5" w:tplc="B1603BF8">
      <w:start w:val="1"/>
      <w:numFmt w:val="bullet"/>
      <w:lvlText w:val=""/>
      <w:lvlJc w:val="left"/>
      <w:pPr>
        <w:ind w:left="4320" w:hanging="360"/>
      </w:pPr>
      <w:rPr>
        <w:rFonts w:ascii="Wingdings" w:hAnsi="Wingdings" w:hint="default"/>
      </w:rPr>
    </w:lvl>
    <w:lvl w:ilvl="6" w:tplc="E40415C8">
      <w:start w:val="1"/>
      <w:numFmt w:val="bullet"/>
      <w:lvlText w:val=""/>
      <w:lvlJc w:val="left"/>
      <w:pPr>
        <w:ind w:left="5040" w:hanging="360"/>
      </w:pPr>
      <w:rPr>
        <w:rFonts w:ascii="Symbol" w:hAnsi="Symbol" w:hint="default"/>
      </w:rPr>
    </w:lvl>
    <w:lvl w:ilvl="7" w:tplc="0A8037A8">
      <w:start w:val="1"/>
      <w:numFmt w:val="bullet"/>
      <w:lvlText w:val="o"/>
      <w:lvlJc w:val="left"/>
      <w:pPr>
        <w:ind w:left="5760" w:hanging="360"/>
      </w:pPr>
      <w:rPr>
        <w:rFonts w:ascii="Courier New" w:hAnsi="Courier New" w:hint="default"/>
      </w:rPr>
    </w:lvl>
    <w:lvl w:ilvl="8" w:tplc="97B4774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FECD45"/>
    <w:rsid w:val="00004BFE"/>
    <w:rsid w:val="00011CD5"/>
    <w:rsid w:val="00012AEF"/>
    <w:rsid w:val="00014B48"/>
    <w:rsid w:val="00015897"/>
    <w:rsid w:val="000209B9"/>
    <w:rsid w:val="00021018"/>
    <w:rsid w:val="000224C3"/>
    <w:rsid w:val="00025CE8"/>
    <w:rsid w:val="0002701E"/>
    <w:rsid w:val="00032B39"/>
    <w:rsid w:val="00032E4C"/>
    <w:rsid w:val="000351A0"/>
    <w:rsid w:val="000353EF"/>
    <w:rsid w:val="00035B1C"/>
    <w:rsid w:val="00037ACD"/>
    <w:rsid w:val="00044D5C"/>
    <w:rsid w:val="000463FE"/>
    <w:rsid w:val="0005291F"/>
    <w:rsid w:val="00052E52"/>
    <w:rsid w:val="0005531F"/>
    <w:rsid w:val="00060073"/>
    <w:rsid w:val="00063917"/>
    <w:rsid w:val="00066E53"/>
    <w:rsid w:val="00072474"/>
    <w:rsid w:val="000735B2"/>
    <w:rsid w:val="00073919"/>
    <w:rsid w:val="00073D6C"/>
    <w:rsid w:val="00074A76"/>
    <w:rsid w:val="00075B3A"/>
    <w:rsid w:val="00076F13"/>
    <w:rsid w:val="000801F5"/>
    <w:rsid w:val="00082408"/>
    <w:rsid w:val="00082E39"/>
    <w:rsid w:val="00087339"/>
    <w:rsid w:val="000901C2"/>
    <w:rsid w:val="00097CE3"/>
    <w:rsid w:val="000A387D"/>
    <w:rsid w:val="000A58CA"/>
    <w:rsid w:val="000B29C0"/>
    <w:rsid w:val="000B6C84"/>
    <w:rsid w:val="000C4562"/>
    <w:rsid w:val="000C5919"/>
    <w:rsid w:val="000D334A"/>
    <w:rsid w:val="000D3940"/>
    <w:rsid w:val="000D6455"/>
    <w:rsid w:val="000D6892"/>
    <w:rsid w:val="000D7076"/>
    <w:rsid w:val="000E083D"/>
    <w:rsid w:val="000E0D81"/>
    <w:rsid w:val="000E14F7"/>
    <w:rsid w:val="000E7749"/>
    <w:rsid w:val="000F0106"/>
    <w:rsid w:val="000F1E34"/>
    <w:rsid w:val="001066DD"/>
    <w:rsid w:val="00114369"/>
    <w:rsid w:val="00117A5C"/>
    <w:rsid w:val="00125013"/>
    <w:rsid w:val="00127D6B"/>
    <w:rsid w:val="00130A39"/>
    <w:rsid w:val="001313E9"/>
    <w:rsid w:val="00131F92"/>
    <w:rsid w:val="001329CD"/>
    <w:rsid w:val="00133AF0"/>
    <w:rsid w:val="001357DB"/>
    <w:rsid w:val="00137C6E"/>
    <w:rsid w:val="00140954"/>
    <w:rsid w:val="00153272"/>
    <w:rsid w:val="001637E7"/>
    <w:rsid w:val="00163FA1"/>
    <w:rsid w:val="00164832"/>
    <w:rsid w:val="001659D3"/>
    <w:rsid w:val="00170964"/>
    <w:rsid w:val="00174B9B"/>
    <w:rsid w:val="0017523C"/>
    <w:rsid w:val="00181B87"/>
    <w:rsid w:val="00183A1A"/>
    <w:rsid w:val="00183B94"/>
    <w:rsid w:val="001876BB"/>
    <w:rsid w:val="001902B9"/>
    <w:rsid w:val="001A0E32"/>
    <w:rsid w:val="001A4C2C"/>
    <w:rsid w:val="001B7CDC"/>
    <w:rsid w:val="001C243E"/>
    <w:rsid w:val="001C3275"/>
    <w:rsid w:val="001D22B6"/>
    <w:rsid w:val="001D37C0"/>
    <w:rsid w:val="001D4C4C"/>
    <w:rsid w:val="001D57E3"/>
    <w:rsid w:val="001D69DB"/>
    <w:rsid w:val="001D70F9"/>
    <w:rsid w:val="001E00A7"/>
    <w:rsid w:val="001E255E"/>
    <w:rsid w:val="001E3147"/>
    <w:rsid w:val="001E316B"/>
    <w:rsid w:val="001F253A"/>
    <w:rsid w:val="001F2619"/>
    <w:rsid w:val="001F6584"/>
    <w:rsid w:val="00201936"/>
    <w:rsid w:val="0020445B"/>
    <w:rsid w:val="00211F7A"/>
    <w:rsid w:val="00212D18"/>
    <w:rsid w:val="00213536"/>
    <w:rsid w:val="00217FAE"/>
    <w:rsid w:val="00223D34"/>
    <w:rsid w:val="00225DB1"/>
    <w:rsid w:val="002279AD"/>
    <w:rsid w:val="00227D93"/>
    <w:rsid w:val="00234B10"/>
    <w:rsid w:val="00236E13"/>
    <w:rsid w:val="0023723E"/>
    <w:rsid w:val="00237AFB"/>
    <w:rsid w:val="00240E85"/>
    <w:rsid w:val="002423AD"/>
    <w:rsid w:val="00242514"/>
    <w:rsid w:val="002513D7"/>
    <w:rsid w:val="00254348"/>
    <w:rsid w:val="00255F8B"/>
    <w:rsid w:val="00260107"/>
    <w:rsid w:val="00261D0D"/>
    <w:rsid w:val="00261E41"/>
    <w:rsid w:val="00262187"/>
    <w:rsid w:val="0026275A"/>
    <w:rsid w:val="00265D3A"/>
    <w:rsid w:val="00270310"/>
    <w:rsid w:val="00270621"/>
    <w:rsid w:val="00274C73"/>
    <w:rsid w:val="00275713"/>
    <w:rsid w:val="0028367F"/>
    <w:rsid w:val="00290040"/>
    <w:rsid w:val="002A103F"/>
    <w:rsid w:val="002A2DD5"/>
    <w:rsid w:val="002A3DE0"/>
    <w:rsid w:val="002B047F"/>
    <w:rsid w:val="002B3A8D"/>
    <w:rsid w:val="002B3D00"/>
    <w:rsid w:val="002B3E2B"/>
    <w:rsid w:val="002B4958"/>
    <w:rsid w:val="002B4B0B"/>
    <w:rsid w:val="002C2586"/>
    <w:rsid w:val="002C2614"/>
    <w:rsid w:val="002F1354"/>
    <w:rsid w:val="002F1FC7"/>
    <w:rsid w:val="002F344E"/>
    <w:rsid w:val="002F6E74"/>
    <w:rsid w:val="002F70C0"/>
    <w:rsid w:val="002F7849"/>
    <w:rsid w:val="00305C28"/>
    <w:rsid w:val="0030648B"/>
    <w:rsid w:val="00307D76"/>
    <w:rsid w:val="00314470"/>
    <w:rsid w:val="0031517A"/>
    <w:rsid w:val="00316826"/>
    <w:rsid w:val="003241BC"/>
    <w:rsid w:val="00331484"/>
    <w:rsid w:val="003319CE"/>
    <w:rsid w:val="00336FA9"/>
    <w:rsid w:val="00341BFC"/>
    <w:rsid w:val="00343DCF"/>
    <w:rsid w:val="00345682"/>
    <w:rsid w:val="00351DA6"/>
    <w:rsid w:val="00353B1D"/>
    <w:rsid w:val="00357171"/>
    <w:rsid w:val="00360F41"/>
    <w:rsid w:val="00363277"/>
    <w:rsid w:val="0036634C"/>
    <w:rsid w:val="00367682"/>
    <w:rsid w:val="00370386"/>
    <w:rsid w:val="00375BB0"/>
    <w:rsid w:val="00376995"/>
    <w:rsid w:val="00376C65"/>
    <w:rsid w:val="0038298E"/>
    <w:rsid w:val="00386A9B"/>
    <w:rsid w:val="00391543"/>
    <w:rsid w:val="00391FE8"/>
    <w:rsid w:val="003A2A5C"/>
    <w:rsid w:val="003A655D"/>
    <w:rsid w:val="003B152B"/>
    <w:rsid w:val="003B3036"/>
    <w:rsid w:val="003B34E2"/>
    <w:rsid w:val="003B3504"/>
    <w:rsid w:val="003B531F"/>
    <w:rsid w:val="003B5738"/>
    <w:rsid w:val="003B5D6B"/>
    <w:rsid w:val="003C0774"/>
    <w:rsid w:val="003C3732"/>
    <w:rsid w:val="003C6D88"/>
    <w:rsid w:val="003D4328"/>
    <w:rsid w:val="003D59F0"/>
    <w:rsid w:val="003D69DF"/>
    <w:rsid w:val="003E380C"/>
    <w:rsid w:val="003E5820"/>
    <w:rsid w:val="003E5DD3"/>
    <w:rsid w:val="003E7355"/>
    <w:rsid w:val="003E751C"/>
    <w:rsid w:val="003F2C42"/>
    <w:rsid w:val="003F3EEE"/>
    <w:rsid w:val="00400281"/>
    <w:rsid w:val="004166E0"/>
    <w:rsid w:val="00417187"/>
    <w:rsid w:val="00422DA7"/>
    <w:rsid w:val="00426583"/>
    <w:rsid w:val="00434488"/>
    <w:rsid w:val="00434584"/>
    <w:rsid w:val="00435A87"/>
    <w:rsid w:val="004363EF"/>
    <w:rsid w:val="0044248C"/>
    <w:rsid w:val="004528DB"/>
    <w:rsid w:val="00456134"/>
    <w:rsid w:val="0046023E"/>
    <w:rsid w:val="00462FB2"/>
    <w:rsid w:val="00464B9E"/>
    <w:rsid w:val="0046628C"/>
    <w:rsid w:val="00466B71"/>
    <w:rsid w:val="004679AC"/>
    <w:rsid w:val="0047191F"/>
    <w:rsid w:val="00471E84"/>
    <w:rsid w:val="004759C4"/>
    <w:rsid w:val="004A375F"/>
    <w:rsid w:val="004A479F"/>
    <w:rsid w:val="004B0FA6"/>
    <w:rsid w:val="004B5F34"/>
    <w:rsid w:val="004C13B8"/>
    <w:rsid w:val="004D13B0"/>
    <w:rsid w:val="004D165A"/>
    <w:rsid w:val="004D2955"/>
    <w:rsid w:val="004D2CBD"/>
    <w:rsid w:val="004D47E7"/>
    <w:rsid w:val="004D6500"/>
    <w:rsid w:val="004D76F1"/>
    <w:rsid w:val="004E2AD7"/>
    <w:rsid w:val="004E79AD"/>
    <w:rsid w:val="004F0DF7"/>
    <w:rsid w:val="004F0EA2"/>
    <w:rsid w:val="004F1181"/>
    <w:rsid w:val="004F7A1B"/>
    <w:rsid w:val="00502D27"/>
    <w:rsid w:val="00504890"/>
    <w:rsid w:val="0050559C"/>
    <w:rsid w:val="005056D4"/>
    <w:rsid w:val="0050638D"/>
    <w:rsid w:val="00507286"/>
    <w:rsid w:val="0051625B"/>
    <w:rsid w:val="0052103E"/>
    <w:rsid w:val="00521A0F"/>
    <w:rsid w:val="00524461"/>
    <w:rsid w:val="005245DC"/>
    <w:rsid w:val="00524C29"/>
    <w:rsid w:val="00526852"/>
    <w:rsid w:val="00526DD7"/>
    <w:rsid w:val="00530933"/>
    <w:rsid w:val="00532733"/>
    <w:rsid w:val="0053316A"/>
    <w:rsid w:val="00537716"/>
    <w:rsid w:val="0054207B"/>
    <w:rsid w:val="00542490"/>
    <w:rsid w:val="00543D92"/>
    <w:rsid w:val="00545566"/>
    <w:rsid w:val="00545876"/>
    <w:rsid w:val="0054765F"/>
    <w:rsid w:val="0055181A"/>
    <w:rsid w:val="0055256A"/>
    <w:rsid w:val="005525D1"/>
    <w:rsid w:val="00556C92"/>
    <w:rsid w:val="005570AC"/>
    <w:rsid w:val="0056134F"/>
    <w:rsid w:val="0056143C"/>
    <w:rsid w:val="005615F8"/>
    <w:rsid w:val="00562E9C"/>
    <w:rsid w:val="005733CA"/>
    <w:rsid w:val="00574001"/>
    <w:rsid w:val="00574004"/>
    <w:rsid w:val="00574606"/>
    <w:rsid w:val="00575E09"/>
    <w:rsid w:val="00582625"/>
    <w:rsid w:val="00582968"/>
    <w:rsid w:val="005844D7"/>
    <w:rsid w:val="00591A63"/>
    <w:rsid w:val="005939F8"/>
    <w:rsid w:val="00595105"/>
    <w:rsid w:val="005B5240"/>
    <w:rsid w:val="005B73ED"/>
    <w:rsid w:val="005C22B3"/>
    <w:rsid w:val="005C5B94"/>
    <w:rsid w:val="005C6C3D"/>
    <w:rsid w:val="005D2123"/>
    <w:rsid w:val="005D569E"/>
    <w:rsid w:val="005D5CBE"/>
    <w:rsid w:val="005E1C1C"/>
    <w:rsid w:val="005E6DB9"/>
    <w:rsid w:val="005F250B"/>
    <w:rsid w:val="005F3EF3"/>
    <w:rsid w:val="00602E84"/>
    <w:rsid w:val="00605E57"/>
    <w:rsid w:val="0061138F"/>
    <w:rsid w:val="0061568C"/>
    <w:rsid w:val="006171E9"/>
    <w:rsid w:val="006201B9"/>
    <w:rsid w:val="00624C0B"/>
    <w:rsid w:val="0063196D"/>
    <w:rsid w:val="00631C59"/>
    <w:rsid w:val="0063290B"/>
    <w:rsid w:val="00640417"/>
    <w:rsid w:val="00640DFC"/>
    <w:rsid w:val="00643C18"/>
    <w:rsid w:val="006518E6"/>
    <w:rsid w:val="006537D5"/>
    <w:rsid w:val="00653D3F"/>
    <w:rsid w:val="006543E9"/>
    <w:rsid w:val="006551EF"/>
    <w:rsid w:val="006614E9"/>
    <w:rsid w:val="006634A2"/>
    <w:rsid w:val="006734F0"/>
    <w:rsid w:val="0068137A"/>
    <w:rsid w:val="00682D72"/>
    <w:rsid w:val="006918A8"/>
    <w:rsid w:val="006A016B"/>
    <w:rsid w:val="006A47F7"/>
    <w:rsid w:val="006A564D"/>
    <w:rsid w:val="006A6FF0"/>
    <w:rsid w:val="006B4BD9"/>
    <w:rsid w:val="006B5BC9"/>
    <w:rsid w:val="006B7293"/>
    <w:rsid w:val="006C2622"/>
    <w:rsid w:val="006C2DF6"/>
    <w:rsid w:val="006C30E2"/>
    <w:rsid w:val="006C783B"/>
    <w:rsid w:val="006C7CC5"/>
    <w:rsid w:val="006C7F98"/>
    <w:rsid w:val="006D032A"/>
    <w:rsid w:val="006D1FAB"/>
    <w:rsid w:val="006D2AC1"/>
    <w:rsid w:val="006E7794"/>
    <w:rsid w:val="006F324C"/>
    <w:rsid w:val="006F747E"/>
    <w:rsid w:val="00707081"/>
    <w:rsid w:val="00710E72"/>
    <w:rsid w:val="00720165"/>
    <w:rsid w:val="007219D8"/>
    <w:rsid w:val="00724CEE"/>
    <w:rsid w:val="00734107"/>
    <w:rsid w:val="00737848"/>
    <w:rsid w:val="00743395"/>
    <w:rsid w:val="00745390"/>
    <w:rsid w:val="00745CBA"/>
    <w:rsid w:val="007507A3"/>
    <w:rsid w:val="00756B0F"/>
    <w:rsid w:val="007704B2"/>
    <w:rsid w:val="00776095"/>
    <w:rsid w:val="007762E5"/>
    <w:rsid w:val="007763EB"/>
    <w:rsid w:val="00777226"/>
    <w:rsid w:val="00781202"/>
    <w:rsid w:val="007824CA"/>
    <w:rsid w:val="00784965"/>
    <w:rsid w:val="00784A35"/>
    <w:rsid w:val="0078654F"/>
    <w:rsid w:val="00790C9F"/>
    <w:rsid w:val="007931F6"/>
    <w:rsid w:val="00795093"/>
    <w:rsid w:val="00795731"/>
    <w:rsid w:val="00797645"/>
    <w:rsid w:val="007A754C"/>
    <w:rsid w:val="007B01FF"/>
    <w:rsid w:val="007B0319"/>
    <w:rsid w:val="007B1D82"/>
    <w:rsid w:val="007B3DAB"/>
    <w:rsid w:val="007B4BC7"/>
    <w:rsid w:val="007B59C7"/>
    <w:rsid w:val="007B7123"/>
    <w:rsid w:val="007C03E1"/>
    <w:rsid w:val="007C0DC1"/>
    <w:rsid w:val="007C2BA1"/>
    <w:rsid w:val="007C613B"/>
    <w:rsid w:val="007D586C"/>
    <w:rsid w:val="007D5DAE"/>
    <w:rsid w:val="007D70D1"/>
    <w:rsid w:val="007D7D26"/>
    <w:rsid w:val="007D7DAA"/>
    <w:rsid w:val="007E5812"/>
    <w:rsid w:val="007F03D2"/>
    <w:rsid w:val="007F1A04"/>
    <w:rsid w:val="007F2487"/>
    <w:rsid w:val="007F2986"/>
    <w:rsid w:val="007F305F"/>
    <w:rsid w:val="007F4FBB"/>
    <w:rsid w:val="00801B94"/>
    <w:rsid w:val="008077CA"/>
    <w:rsid w:val="00811122"/>
    <w:rsid w:val="00822520"/>
    <w:rsid w:val="00825061"/>
    <w:rsid w:val="0082627F"/>
    <w:rsid w:val="00831F78"/>
    <w:rsid w:val="00832305"/>
    <w:rsid w:val="00834E91"/>
    <w:rsid w:val="00836161"/>
    <w:rsid w:val="00837EED"/>
    <w:rsid w:val="00855FED"/>
    <w:rsid w:val="0085753A"/>
    <w:rsid w:val="00861A54"/>
    <w:rsid w:val="008622F7"/>
    <w:rsid w:val="008649EF"/>
    <w:rsid w:val="00871D4B"/>
    <w:rsid w:val="00874120"/>
    <w:rsid w:val="00874B34"/>
    <w:rsid w:val="008765A8"/>
    <w:rsid w:val="00882543"/>
    <w:rsid w:val="00884437"/>
    <w:rsid w:val="00884590"/>
    <w:rsid w:val="0088685F"/>
    <w:rsid w:val="0089539D"/>
    <w:rsid w:val="008A20B0"/>
    <w:rsid w:val="008A49C8"/>
    <w:rsid w:val="008A5B47"/>
    <w:rsid w:val="008A5C68"/>
    <w:rsid w:val="008B3DEE"/>
    <w:rsid w:val="008C47DF"/>
    <w:rsid w:val="008D5608"/>
    <w:rsid w:val="008D79EB"/>
    <w:rsid w:val="008E0254"/>
    <w:rsid w:val="008E4F88"/>
    <w:rsid w:val="008E719E"/>
    <w:rsid w:val="008F3EC8"/>
    <w:rsid w:val="00900B75"/>
    <w:rsid w:val="009024EF"/>
    <w:rsid w:val="0090291B"/>
    <w:rsid w:val="00905CDB"/>
    <w:rsid w:val="009072F4"/>
    <w:rsid w:val="00914EC3"/>
    <w:rsid w:val="0092142F"/>
    <w:rsid w:val="00923A3F"/>
    <w:rsid w:val="00926E53"/>
    <w:rsid w:val="0092782A"/>
    <w:rsid w:val="009319FA"/>
    <w:rsid w:val="009359DE"/>
    <w:rsid w:val="00937CDF"/>
    <w:rsid w:val="00943B48"/>
    <w:rsid w:val="00947C72"/>
    <w:rsid w:val="00951105"/>
    <w:rsid w:val="00952F5E"/>
    <w:rsid w:val="00953214"/>
    <w:rsid w:val="00954B84"/>
    <w:rsid w:val="00956B85"/>
    <w:rsid w:val="00956C3A"/>
    <w:rsid w:val="0095706F"/>
    <w:rsid w:val="00957773"/>
    <w:rsid w:val="00966232"/>
    <w:rsid w:val="00966900"/>
    <w:rsid w:val="00970EC7"/>
    <w:rsid w:val="009719D2"/>
    <w:rsid w:val="00990C27"/>
    <w:rsid w:val="00990CF8"/>
    <w:rsid w:val="009916A0"/>
    <w:rsid w:val="00995279"/>
    <w:rsid w:val="0099662F"/>
    <w:rsid w:val="009A256B"/>
    <w:rsid w:val="009B610B"/>
    <w:rsid w:val="009B780B"/>
    <w:rsid w:val="009B7EAC"/>
    <w:rsid w:val="009C1925"/>
    <w:rsid w:val="009C2C9D"/>
    <w:rsid w:val="009C3490"/>
    <w:rsid w:val="009C4A09"/>
    <w:rsid w:val="009C5E09"/>
    <w:rsid w:val="009C7CD1"/>
    <w:rsid w:val="009D6514"/>
    <w:rsid w:val="009F307C"/>
    <w:rsid w:val="009F53DD"/>
    <w:rsid w:val="009F55A1"/>
    <w:rsid w:val="009F734D"/>
    <w:rsid w:val="00A00634"/>
    <w:rsid w:val="00A011AF"/>
    <w:rsid w:val="00A01684"/>
    <w:rsid w:val="00A016D0"/>
    <w:rsid w:val="00A021EE"/>
    <w:rsid w:val="00A107AC"/>
    <w:rsid w:val="00A1540C"/>
    <w:rsid w:val="00A2350D"/>
    <w:rsid w:val="00A27AE1"/>
    <w:rsid w:val="00A301E5"/>
    <w:rsid w:val="00A3346A"/>
    <w:rsid w:val="00A37D6C"/>
    <w:rsid w:val="00A4258C"/>
    <w:rsid w:val="00A43E18"/>
    <w:rsid w:val="00A468E4"/>
    <w:rsid w:val="00A60BF5"/>
    <w:rsid w:val="00A61C8C"/>
    <w:rsid w:val="00A63047"/>
    <w:rsid w:val="00A648C2"/>
    <w:rsid w:val="00A7204C"/>
    <w:rsid w:val="00A86202"/>
    <w:rsid w:val="00A93D3A"/>
    <w:rsid w:val="00A97EFA"/>
    <w:rsid w:val="00AA0FCF"/>
    <w:rsid w:val="00AB223E"/>
    <w:rsid w:val="00AB2D0F"/>
    <w:rsid w:val="00AB3BF5"/>
    <w:rsid w:val="00AB50FB"/>
    <w:rsid w:val="00AC074A"/>
    <w:rsid w:val="00AC4933"/>
    <w:rsid w:val="00AC4C25"/>
    <w:rsid w:val="00AC6FC2"/>
    <w:rsid w:val="00AD1C24"/>
    <w:rsid w:val="00AD2527"/>
    <w:rsid w:val="00AD2F79"/>
    <w:rsid w:val="00AD4641"/>
    <w:rsid w:val="00AE0176"/>
    <w:rsid w:val="00AE057E"/>
    <w:rsid w:val="00AE1D6C"/>
    <w:rsid w:val="00AE24C7"/>
    <w:rsid w:val="00AE67AD"/>
    <w:rsid w:val="00AE7DB1"/>
    <w:rsid w:val="00AF35AC"/>
    <w:rsid w:val="00AF7A69"/>
    <w:rsid w:val="00AF7EA0"/>
    <w:rsid w:val="00B003C2"/>
    <w:rsid w:val="00B0055F"/>
    <w:rsid w:val="00B0225F"/>
    <w:rsid w:val="00B03B22"/>
    <w:rsid w:val="00B20ABD"/>
    <w:rsid w:val="00B217A8"/>
    <w:rsid w:val="00B24C4C"/>
    <w:rsid w:val="00B25269"/>
    <w:rsid w:val="00B303F2"/>
    <w:rsid w:val="00B30634"/>
    <w:rsid w:val="00B4607B"/>
    <w:rsid w:val="00B622B1"/>
    <w:rsid w:val="00B62F92"/>
    <w:rsid w:val="00B635FB"/>
    <w:rsid w:val="00B66115"/>
    <w:rsid w:val="00B67DBA"/>
    <w:rsid w:val="00B70743"/>
    <w:rsid w:val="00B74DA5"/>
    <w:rsid w:val="00B76639"/>
    <w:rsid w:val="00B812E3"/>
    <w:rsid w:val="00B85997"/>
    <w:rsid w:val="00B8706E"/>
    <w:rsid w:val="00B9399A"/>
    <w:rsid w:val="00BA2519"/>
    <w:rsid w:val="00BA4602"/>
    <w:rsid w:val="00BB197A"/>
    <w:rsid w:val="00BB63C7"/>
    <w:rsid w:val="00BC0908"/>
    <w:rsid w:val="00BC48CE"/>
    <w:rsid w:val="00BD0D7A"/>
    <w:rsid w:val="00BD2D28"/>
    <w:rsid w:val="00BD594D"/>
    <w:rsid w:val="00BD5D22"/>
    <w:rsid w:val="00BD6395"/>
    <w:rsid w:val="00BD6685"/>
    <w:rsid w:val="00BD722F"/>
    <w:rsid w:val="00BE19D6"/>
    <w:rsid w:val="00BE3223"/>
    <w:rsid w:val="00BE3D15"/>
    <w:rsid w:val="00BE73A9"/>
    <w:rsid w:val="00BE7EEB"/>
    <w:rsid w:val="00BF1836"/>
    <w:rsid w:val="00BF230F"/>
    <w:rsid w:val="00C00C11"/>
    <w:rsid w:val="00C02E71"/>
    <w:rsid w:val="00C062CD"/>
    <w:rsid w:val="00C10A06"/>
    <w:rsid w:val="00C110CC"/>
    <w:rsid w:val="00C15399"/>
    <w:rsid w:val="00C166D6"/>
    <w:rsid w:val="00C17703"/>
    <w:rsid w:val="00C17D72"/>
    <w:rsid w:val="00C17E8D"/>
    <w:rsid w:val="00C20B6C"/>
    <w:rsid w:val="00C25A2D"/>
    <w:rsid w:val="00C308B7"/>
    <w:rsid w:val="00C32900"/>
    <w:rsid w:val="00C45057"/>
    <w:rsid w:val="00C4581D"/>
    <w:rsid w:val="00C46E2E"/>
    <w:rsid w:val="00C470F5"/>
    <w:rsid w:val="00C50AE0"/>
    <w:rsid w:val="00C52978"/>
    <w:rsid w:val="00C529C7"/>
    <w:rsid w:val="00C52E0F"/>
    <w:rsid w:val="00C53D5A"/>
    <w:rsid w:val="00C6331C"/>
    <w:rsid w:val="00C640BA"/>
    <w:rsid w:val="00C70D65"/>
    <w:rsid w:val="00C716AA"/>
    <w:rsid w:val="00C71EE4"/>
    <w:rsid w:val="00C833F8"/>
    <w:rsid w:val="00C8449E"/>
    <w:rsid w:val="00C90B97"/>
    <w:rsid w:val="00C91CE0"/>
    <w:rsid w:val="00CA3793"/>
    <w:rsid w:val="00CA5756"/>
    <w:rsid w:val="00CA617B"/>
    <w:rsid w:val="00CA6901"/>
    <w:rsid w:val="00CA6DC2"/>
    <w:rsid w:val="00CB56D7"/>
    <w:rsid w:val="00CB772B"/>
    <w:rsid w:val="00CC224A"/>
    <w:rsid w:val="00CC4B71"/>
    <w:rsid w:val="00CD0BE0"/>
    <w:rsid w:val="00CD6E1C"/>
    <w:rsid w:val="00CE5D68"/>
    <w:rsid w:val="00CF46F8"/>
    <w:rsid w:val="00CF6338"/>
    <w:rsid w:val="00D00950"/>
    <w:rsid w:val="00D046AF"/>
    <w:rsid w:val="00D201BF"/>
    <w:rsid w:val="00D24631"/>
    <w:rsid w:val="00D25AB1"/>
    <w:rsid w:val="00D26A5E"/>
    <w:rsid w:val="00D31A5E"/>
    <w:rsid w:val="00D377BF"/>
    <w:rsid w:val="00D43547"/>
    <w:rsid w:val="00D44E97"/>
    <w:rsid w:val="00D62B20"/>
    <w:rsid w:val="00D64028"/>
    <w:rsid w:val="00D67CB3"/>
    <w:rsid w:val="00D7775A"/>
    <w:rsid w:val="00D8305C"/>
    <w:rsid w:val="00D84B6D"/>
    <w:rsid w:val="00D85613"/>
    <w:rsid w:val="00D86B4F"/>
    <w:rsid w:val="00D91024"/>
    <w:rsid w:val="00D91CDC"/>
    <w:rsid w:val="00D946F4"/>
    <w:rsid w:val="00DA4B5A"/>
    <w:rsid w:val="00DB2B0F"/>
    <w:rsid w:val="00DB5225"/>
    <w:rsid w:val="00DB5FB5"/>
    <w:rsid w:val="00DB786B"/>
    <w:rsid w:val="00DC1B4A"/>
    <w:rsid w:val="00DC3926"/>
    <w:rsid w:val="00DD0AE3"/>
    <w:rsid w:val="00DD2822"/>
    <w:rsid w:val="00DD38B2"/>
    <w:rsid w:val="00DD6367"/>
    <w:rsid w:val="00DD6EBB"/>
    <w:rsid w:val="00DE0309"/>
    <w:rsid w:val="00DE4F2F"/>
    <w:rsid w:val="00DE5EFF"/>
    <w:rsid w:val="00DE68B9"/>
    <w:rsid w:val="00DE74BC"/>
    <w:rsid w:val="00E04307"/>
    <w:rsid w:val="00E07BB0"/>
    <w:rsid w:val="00E1489B"/>
    <w:rsid w:val="00E156F8"/>
    <w:rsid w:val="00E201A8"/>
    <w:rsid w:val="00E2118C"/>
    <w:rsid w:val="00E24F78"/>
    <w:rsid w:val="00E27FD5"/>
    <w:rsid w:val="00E308EB"/>
    <w:rsid w:val="00E332E3"/>
    <w:rsid w:val="00E336E9"/>
    <w:rsid w:val="00E4778C"/>
    <w:rsid w:val="00E47ADF"/>
    <w:rsid w:val="00E50A33"/>
    <w:rsid w:val="00E52AB6"/>
    <w:rsid w:val="00E5427F"/>
    <w:rsid w:val="00E57488"/>
    <w:rsid w:val="00E603CE"/>
    <w:rsid w:val="00E613A3"/>
    <w:rsid w:val="00E61A2E"/>
    <w:rsid w:val="00E65B2D"/>
    <w:rsid w:val="00E70FC4"/>
    <w:rsid w:val="00E760DC"/>
    <w:rsid w:val="00E76BD4"/>
    <w:rsid w:val="00E77989"/>
    <w:rsid w:val="00E83A47"/>
    <w:rsid w:val="00E83D53"/>
    <w:rsid w:val="00E91393"/>
    <w:rsid w:val="00E93754"/>
    <w:rsid w:val="00E9643F"/>
    <w:rsid w:val="00EA0F79"/>
    <w:rsid w:val="00EA1599"/>
    <w:rsid w:val="00EA21D7"/>
    <w:rsid w:val="00EA3CBE"/>
    <w:rsid w:val="00EA6C62"/>
    <w:rsid w:val="00EA7B13"/>
    <w:rsid w:val="00EB3A92"/>
    <w:rsid w:val="00EC1C15"/>
    <w:rsid w:val="00ED0096"/>
    <w:rsid w:val="00ED4AF3"/>
    <w:rsid w:val="00EE2071"/>
    <w:rsid w:val="00EE54DA"/>
    <w:rsid w:val="00EF50E3"/>
    <w:rsid w:val="00F02F11"/>
    <w:rsid w:val="00F05382"/>
    <w:rsid w:val="00F05D67"/>
    <w:rsid w:val="00F117E5"/>
    <w:rsid w:val="00F13AEA"/>
    <w:rsid w:val="00F14E69"/>
    <w:rsid w:val="00F1668E"/>
    <w:rsid w:val="00F17BC8"/>
    <w:rsid w:val="00F24A1A"/>
    <w:rsid w:val="00F34444"/>
    <w:rsid w:val="00F359EE"/>
    <w:rsid w:val="00F35FF0"/>
    <w:rsid w:val="00F41050"/>
    <w:rsid w:val="00F4181F"/>
    <w:rsid w:val="00F44128"/>
    <w:rsid w:val="00F44A57"/>
    <w:rsid w:val="00F4694B"/>
    <w:rsid w:val="00F50485"/>
    <w:rsid w:val="00F535FD"/>
    <w:rsid w:val="00F53B18"/>
    <w:rsid w:val="00F54E94"/>
    <w:rsid w:val="00F7129E"/>
    <w:rsid w:val="00F72202"/>
    <w:rsid w:val="00F758E6"/>
    <w:rsid w:val="00F767BC"/>
    <w:rsid w:val="00F80D7E"/>
    <w:rsid w:val="00F82EE8"/>
    <w:rsid w:val="00F83F9E"/>
    <w:rsid w:val="00F84247"/>
    <w:rsid w:val="00F8610E"/>
    <w:rsid w:val="00F96388"/>
    <w:rsid w:val="00FA0387"/>
    <w:rsid w:val="00FA2F11"/>
    <w:rsid w:val="00FA39A5"/>
    <w:rsid w:val="00FA5A56"/>
    <w:rsid w:val="00FB24E8"/>
    <w:rsid w:val="00FB7520"/>
    <w:rsid w:val="00FB7B43"/>
    <w:rsid w:val="00FC2EF5"/>
    <w:rsid w:val="00FC40B9"/>
    <w:rsid w:val="00FC53C2"/>
    <w:rsid w:val="00FC746F"/>
    <w:rsid w:val="00FC74A0"/>
    <w:rsid w:val="00FD3F3A"/>
    <w:rsid w:val="00FD6E33"/>
    <w:rsid w:val="00FD6E6C"/>
    <w:rsid w:val="00FD6EDD"/>
    <w:rsid w:val="00FE3B7A"/>
    <w:rsid w:val="00FE6DCB"/>
    <w:rsid w:val="00FF752B"/>
    <w:rsid w:val="013E33C8"/>
    <w:rsid w:val="0148E982"/>
    <w:rsid w:val="014E43CC"/>
    <w:rsid w:val="01D85C6E"/>
    <w:rsid w:val="021D6B8A"/>
    <w:rsid w:val="0246C7FF"/>
    <w:rsid w:val="02AA8A62"/>
    <w:rsid w:val="02BC4AA3"/>
    <w:rsid w:val="02FFDA7E"/>
    <w:rsid w:val="034112C7"/>
    <w:rsid w:val="04910F6D"/>
    <w:rsid w:val="049AC621"/>
    <w:rsid w:val="04BE2DB2"/>
    <w:rsid w:val="04C8DB32"/>
    <w:rsid w:val="04D94518"/>
    <w:rsid w:val="05A7673F"/>
    <w:rsid w:val="05F1565C"/>
    <w:rsid w:val="06EADACB"/>
    <w:rsid w:val="07009D96"/>
    <w:rsid w:val="078CBA17"/>
    <w:rsid w:val="0880840E"/>
    <w:rsid w:val="088DFC7E"/>
    <w:rsid w:val="08F0C5B7"/>
    <w:rsid w:val="08FA650A"/>
    <w:rsid w:val="093EB702"/>
    <w:rsid w:val="09A3D439"/>
    <w:rsid w:val="09AAC4A5"/>
    <w:rsid w:val="09BC324D"/>
    <w:rsid w:val="09E85714"/>
    <w:rsid w:val="09E874AD"/>
    <w:rsid w:val="0AA6A6F4"/>
    <w:rsid w:val="0AFC6EE7"/>
    <w:rsid w:val="0B3FA49A"/>
    <w:rsid w:val="0B406EE3"/>
    <w:rsid w:val="0B6E03DD"/>
    <w:rsid w:val="0B8F4556"/>
    <w:rsid w:val="0BA7A383"/>
    <w:rsid w:val="0BC86388"/>
    <w:rsid w:val="0BDBA230"/>
    <w:rsid w:val="0BF2CBE5"/>
    <w:rsid w:val="0C41AE07"/>
    <w:rsid w:val="0C977A2B"/>
    <w:rsid w:val="0D3377C1"/>
    <w:rsid w:val="0D6304F9"/>
    <w:rsid w:val="0E1293A3"/>
    <w:rsid w:val="0E47079A"/>
    <w:rsid w:val="0E5FE7F6"/>
    <w:rsid w:val="0F101031"/>
    <w:rsid w:val="0F85C348"/>
    <w:rsid w:val="0FA09ABA"/>
    <w:rsid w:val="107B246A"/>
    <w:rsid w:val="11918FDC"/>
    <w:rsid w:val="11C24C04"/>
    <w:rsid w:val="11E3FAEC"/>
    <w:rsid w:val="120442D6"/>
    <w:rsid w:val="1297661B"/>
    <w:rsid w:val="12A805E6"/>
    <w:rsid w:val="131F0EFE"/>
    <w:rsid w:val="133FD49C"/>
    <w:rsid w:val="1345BE24"/>
    <w:rsid w:val="13533A55"/>
    <w:rsid w:val="1407962C"/>
    <w:rsid w:val="14B0A8C1"/>
    <w:rsid w:val="14B27707"/>
    <w:rsid w:val="15D45586"/>
    <w:rsid w:val="15F5C9D0"/>
    <w:rsid w:val="15F9CB24"/>
    <w:rsid w:val="16142C0E"/>
    <w:rsid w:val="164C74A9"/>
    <w:rsid w:val="164CAD83"/>
    <w:rsid w:val="167B105A"/>
    <w:rsid w:val="171B21E9"/>
    <w:rsid w:val="173BF08F"/>
    <w:rsid w:val="174FDA4D"/>
    <w:rsid w:val="177F93AE"/>
    <w:rsid w:val="183E7241"/>
    <w:rsid w:val="18599E6F"/>
    <w:rsid w:val="1890FD1E"/>
    <w:rsid w:val="18E48771"/>
    <w:rsid w:val="18F092FF"/>
    <w:rsid w:val="193EB546"/>
    <w:rsid w:val="1A15EB18"/>
    <w:rsid w:val="1B5E1A91"/>
    <w:rsid w:val="1B95E55D"/>
    <w:rsid w:val="1BD6FF6E"/>
    <w:rsid w:val="1CC6D27C"/>
    <w:rsid w:val="1D3925B8"/>
    <w:rsid w:val="1D60E8E7"/>
    <w:rsid w:val="1D7B163C"/>
    <w:rsid w:val="1D9E06E9"/>
    <w:rsid w:val="1E41278F"/>
    <w:rsid w:val="1E94A3C4"/>
    <w:rsid w:val="1EB7CC5A"/>
    <w:rsid w:val="1ED295DB"/>
    <w:rsid w:val="1FDFBE38"/>
    <w:rsid w:val="202D85A4"/>
    <w:rsid w:val="206BF5A3"/>
    <w:rsid w:val="20881661"/>
    <w:rsid w:val="2091ADD6"/>
    <w:rsid w:val="214A2CCD"/>
    <w:rsid w:val="216C3DD4"/>
    <w:rsid w:val="2300C74E"/>
    <w:rsid w:val="2346F99D"/>
    <w:rsid w:val="24B18853"/>
    <w:rsid w:val="24E2B3BA"/>
    <w:rsid w:val="25061D4D"/>
    <w:rsid w:val="25095D8D"/>
    <w:rsid w:val="251D6715"/>
    <w:rsid w:val="25691B08"/>
    <w:rsid w:val="256D29BC"/>
    <w:rsid w:val="25843AA8"/>
    <w:rsid w:val="25CC3187"/>
    <w:rsid w:val="261FD397"/>
    <w:rsid w:val="26339E24"/>
    <w:rsid w:val="26346DC0"/>
    <w:rsid w:val="27113C3E"/>
    <w:rsid w:val="2713EF71"/>
    <w:rsid w:val="27751B04"/>
    <w:rsid w:val="27BE00DD"/>
    <w:rsid w:val="2805A141"/>
    <w:rsid w:val="280B49F9"/>
    <w:rsid w:val="280B7BCF"/>
    <w:rsid w:val="286B43B5"/>
    <w:rsid w:val="296BD65E"/>
    <w:rsid w:val="2A8B9AB4"/>
    <w:rsid w:val="2B19DDB5"/>
    <w:rsid w:val="2B2B55F5"/>
    <w:rsid w:val="2B2B88C6"/>
    <w:rsid w:val="2BCAA5E7"/>
    <w:rsid w:val="2BEFE497"/>
    <w:rsid w:val="2C68CA9C"/>
    <w:rsid w:val="2C73E9E8"/>
    <w:rsid w:val="2CB77F16"/>
    <w:rsid w:val="2D687629"/>
    <w:rsid w:val="2DA37F44"/>
    <w:rsid w:val="2DD1F102"/>
    <w:rsid w:val="2E1B8C8B"/>
    <w:rsid w:val="2E6CE488"/>
    <w:rsid w:val="2EB37199"/>
    <w:rsid w:val="2EBCB54D"/>
    <w:rsid w:val="2EC86B16"/>
    <w:rsid w:val="2F0FBA01"/>
    <w:rsid w:val="2F7BFC77"/>
    <w:rsid w:val="30494DAD"/>
    <w:rsid w:val="3072B4C2"/>
    <w:rsid w:val="308356F9"/>
    <w:rsid w:val="308641E6"/>
    <w:rsid w:val="30D5FE12"/>
    <w:rsid w:val="315F864E"/>
    <w:rsid w:val="31856093"/>
    <w:rsid w:val="31F264E3"/>
    <w:rsid w:val="3227B8AF"/>
    <w:rsid w:val="32C85761"/>
    <w:rsid w:val="331D6FC3"/>
    <w:rsid w:val="333B4752"/>
    <w:rsid w:val="33850D00"/>
    <w:rsid w:val="33FF8A30"/>
    <w:rsid w:val="34028A20"/>
    <w:rsid w:val="341B4CDB"/>
    <w:rsid w:val="345DA854"/>
    <w:rsid w:val="346DCD20"/>
    <w:rsid w:val="359F6EFC"/>
    <w:rsid w:val="35E742E7"/>
    <w:rsid w:val="35FFF5C5"/>
    <w:rsid w:val="36008EFC"/>
    <w:rsid w:val="36C7467C"/>
    <w:rsid w:val="36EBA939"/>
    <w:rsid w:val="385330A2"/>
    <w:rsid w:val="38C74BD8"/>
    <w:rsid w:val="38DCEBAF"/>
    <w:rsid w:val="39850DCC"/>
    <w:rsid w:val="3A0791E8"/>
    <w:rsid w:val="3A5D5F07"/>
    <w:rsid w:val="3B88FC1A"/>
    <w:rsid w:val="3B998114"/>
    <w:rsid w:val="3BBF1A5C"/>
    <w:rsid w:val="3BE4FCAE"/>
    <w:rsid w:val="3C00F647"/>
    <w:rsid w:val="3C2BEBDB"/>
    <w:rsid w:val="3C3081ED"/>
    <w:rsid w:val="3CB7E581"/>
    <w:rsid w:val="3D04F538"/>
    <w:rsid w:val="3D3A9B73"/>
    <w:rsid w:val="3EA18577"/>
    <w:rsid w:val="3FFDEE8F"/>
    <w:rsid w:val="4051CA82"/>
    <w:rsid w:val="40A37BDE"/>
    <w:rsid w:val="40EA0FED"/>
    <w:rsid w:val="41B7ACAA"/>
    <w:rsid w:val="41CE7727"/>
    <w:rsid w:val="422A9D3A"/>
    <w:rsid w:val="4335FE90"/>
    <w:rsid w:val="437DAD6E"/>
    <w:rsid w:val="43AC4D0F"/>
    <w:rsid w:val="43CC93BE"/>
    <w:rsid w:val="4520DD7A"/>
    <w:rsid w:val="45422533"/>
    <w:rsid w:val="45491731"/>
    <w:rsid w:val="4788B76B"/>
    <w:rsid w:val="478AF098"/>
    <w:rsid w:val="47998D9B"/>
    <w:rsid w:val="47D8444C"/>
    <w:rsid w:val="4829887C"/>
    <w:rsid w:val="4846A155"/>
    <w:rsid w:val="486EA13A"/>
    <w:rsid w:val="48C86FD7"/>
    <w:rsid w:val="48C8DF16"/>
    <w:rsid w:val="48D680F5"/>
    <w:rsid w:val="4A88B9B7"/>
    <w:rsid w:val="4AF9E3DF"/>
    <w:rsid w:val="4BCB959E"/>
    <w:rsid w:val="4BF1D22C"/>
    <w:rsid w:val="4C3AAD40"/>
    <w:rsid w:val="4C851273"/>
    <w:rsid w:val="4CD71F5A"/>
    <w:rsid w:val="4CEBB430"/>
    <w:rsid w:val="4D2D5120"/>
    <w:rsid w:val="4DC40486"/>
    <w:rsid w:val="4DF24469"/>
    <w:rsid w:val="4E6E5C34"/>
    <w:rsid w:val="4EED682F"/>
    <w:rsid w:val="4EF22F1E"/>
    <w:rsid w:val="4F3DD879"/>
    <w:rsid w:val="4FE68BE7"/>
    <w:rsid w:val="505B3EEF"/>
    <w:rsid w:val="50B0042F"/>
    <w:rsid w:val="50E3E944"/>
    <w:rsid w:val="51126690"/>
    <w:rsid w:val="51B37927"/>
    <w:rsid w:val="51EB3E17"/>
    <w:rsid w:val="51FF88BB"/>
    <w:rsid w:val="52848903"/>
    <w:rsid w:val="52B925CA"/>
    <w:rsid w:val="53362226"/>
    <w:rsid w:val="534C07E5"/>
    <w:rsid w:val="53B888B7"/>
    <w:rsid w:val="53C8AD27"/>
    <w:rsid w:val="540AAF5D"/>
    <w:rsid w:val="542DBF3D"/>
    <w:rsid w:val="56015719"/>
    <w:rsid w:val="561D663E"/>
    <w:rsid w:val="57529D51"/>
    <w:rsid w:val="57BDDDC4"/>
    <w:rsid w:val="57C6C769"/>
    <w:rsid w:val="57E11DBB"/>
    <w:rsid w:val="58757859"/>
    <w:rsid w:val="592F0E83"/>
    <w:rsid w:val="59645D37"/>
    <w:rsid w:val="5A193BC0"/>
    <w:rsid w:val="5A315EC9"/>
    <w:rsid w:val="5A317B9C"/>
    <w:rsid w:val="5A4C4618"/>
    <w:rsid w:val="5A97FB41"/>
    <w:rsid w:val="5A9DAE91"/>
    <w:rsid w:val="5AD72DB7"/>
    <w:rsid w:val="5C482788"/>
    <w:rsid w:val="5C97D404"/>
    <w:rsid w:val="5CD1E520"/>
    <w:rsid w:val="5CF26290"/>
    <w:rsid w:val="5D78ABE3"/>
    <w:rsid w:val="5D8C443E"/>
    <w:rsid w:val="5E145FF7"/>
    <w:rsid w:val="5E9AFEF4"/>
    <w:rsid w:val="5EB043CB"/>
    <w:rsid w:val="5EB1BF78"/>
    <w:rsid w:val="5ED78A96"/>
    <w:rsid w:val="5F2B2CA6"/>
    <w:rsid w:val="5F5E87AB"/>
    <w:rsid w:val="5F9570CD"/>
    <w:rsid w:val="6008251C"/>
    <w:rsid w:val="603B187D"/>
    <w:rsid w:val="6042B88E"/>
    <w:rsid w:val="60466BFD"/>
    <w:rsid w:val="60CF4F34"/>
    <w:rsid w:val="61A91CF6"/>
    <w:rsid w:val="61BCB838"/>
    <w:rsid w:val="62ECED1C"/>
    <w:rsid w:val="630C44A4"/>
    <w:rsid w:val="63E203B2"/>
    <w:rsid w:val="6530346E"/>
    <w:rsid w:val="65B5995D"/>
    <w:rsid w:val="65FCBB5B"/>
    <w:rsid w:val="667D1383"/>
    <w:rsid w:val="66977E6E"/>
    <w:rsid w:val="66A62D7F"/>
    <w:rsid w:val="66AF1DCC"/>
    <w:rsid w:val="6765CBC3"/>
    <w:rsid w:val="67923C38"/>
    <w:rsid w:val="67B7CFA4"/>
    <w:rsid w:val="67E053BA"/>
    <w:rsid w:val="68C02804"/>
    <w:rsid w:val="699EFA80"/>
    <w:rsid w:val="69E56416"/>
    <w:rsid w:val="69F6FD46"/>
    <w:rsid w:val="6A427FFA"/>
    <w:rsid w:val="6A80ADBB"/>
    <w:rsid w:val="6ABFEDC6"/>
    <w:rsid w:val="6AEEEB93"/>
    <w:rsid w:val="6B55C7D2"/>
    <w:rsid w:val="6B5AE3AA"/>
    <w:rsid w:val="6BCA3DCD"/>
    <w:rsid w:val="6C0356BA"/>
    <w:rsid w:val="6CED9890"/>
    <w:rsid w:val="6CF64F64"/>
    <w:rsid w:val="6D8C25DC"/>
    <w:rsid w:val="6D9B4D05"/>
    <w:rsid w:val="6DCC249D"/>
    <w:rsid w:val="6DD84008"/>
    <w:rsid w:val="6E94AF7B"/>
    <w:rsid w:val="6F8065B7"/>
    <w:rsid w:val="6FCFA2F4"/>
    <w:rsid w:val="708357A3"/>
    <w:rsid w:val="70D05E6D"/>
    <w:rsid w:val="713EA3B9"/>
    <w:rsid w:val="71B552EF"/>
    <w:rsid w:val="71CF773E"/>
    <w:rsid w:val="71D3A550"/>
    <w:rsid w:val="722BA816"/>
    <w:rsid w:val="7241FA62"/>
    <w:rsid w:val="724DC642"/>
    <w:rsid w:val="730D9D49"/>
    <w:rsid w:val="73376C83"/>
    <w:rsid w:val="73BD08FF"/>
    <w:rsid w:val="7425004B"/>
    <w:rsid w:val="7447E633"/>
    <w:rsid w:val="74B3B386"/>
    <w:rsid w:val="74D43B8E"/>
    <w:rsid w:val="74FD0483"/>
    <w:rsid w:val="75133398"/>
    <w:rsid w:val="7617436F"/>
    <w:rsid w:val="762F6059"/>
    <w:rsid w:val="76632736"/>
    <w:rsid w:val="76FECD45"/>
    <w:rsid w:val="7720FD93"/>
    <w:rsid w:val="7734CD8F"/>
    <w:rsid w:val="78C225A0"/>
    <w:rsid w:val="7947E49E"/>
    <w:rsid w:val="795248C8"/>
    <w:rsid w:val="799E869E"/>
    <w:rsid w:val="79AFFEDE"/>
    <w:rsid w:val="7A01897F"/>
    <w:rsid w:val="7A176B7B"/>
    <w:rsid w:val="7A2D162F"/>
    <w:rsid w:val="7A94FB9C"/>
    <w:rsid w:val="7B01213F"/>
    <w:rsid w:val="7B831AC0"/>
    <w:rsid w:val="7BA13B4B"/>
    <w:rsid w:val="7BF4698D"/>
    <w:rsid w:val="7CAC8D4D"/>
    <w:rsid w:val="7CE58E50"/>
    <w:rsid w:val="7D0E3451"/>
    <w:rsid w:val="7D5BF1F1"/>
    <w:rsid w:val="7EDE6499"/>
    <w:rsid w:val="7F33238B"/>
    <w:rsid w:val="7F7124A2"/>
    <w:rsid w:val="7F76C2BA"/>
    <w:rsid w:val="7F798D4E"/>
    <w:rsid w:val="7F90EB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CD45"/>
  <w15:chartTrackingRefBased/>
  <w15:docId w15:val="{C7BF579E-25B1-43C1-853D-38CAF274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paragraph" w:styleId="Encabezado">
    <w:name w:val="header"/>
    <w:basedOn w:val="Normal"/>
    <w:link w:val="EncabezadoCar"/>
    <w:uiPriority w:val="99"/>
    <w:unhideWhenUsed/>
    <w:rsid w:val="002A10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103F"/>
  </w:style>
  <w:style w:type="paragraph" w:styleId="Piedepgina">
    <w:name w:val="footer"/>
    <w:basedOn w:val="Normal"/>
    <w:link w:val="PiedepginaCar"/>
    <w:uiPriority w:val="99"/>
    <w:unhideWhenUsed/>
    <w:rsid w:val="002A10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1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www.isa.co/es/sala-de-prensa/Documents/relacion-con-inversionistas/calificacion-de-riesgo/2019/Moody&#180;s_ISA%202019%20(Traducci&#243;nOficial).pdf" TargetMode="External"/><Relationship Id="rId12" Type="http://schemas.openxmlformats.org/officeDocument/2006/relationships/hyperlink" Target="http://www.isa.co/es/sala-de-prensa/Documents/relacion-con-inversionistas/calificacion-de-riesgo/2019/Calificacion%20Fitch%20RatingsInterconexi&#243;n%20El&#233;ctrica2019.pdf" TargetMode="External"/><Relationship Id="rId13" Type="http://schemas.openxmlformats.org/officeDocument/2006/relationships/hyperlink" Target="http://www.isa.co/es/sala-de-prensa/Documents/relacion-con-inversionistas/presentaciones-corporativas/2019/1_Presentaci&#243;n%20Corporativa%20Septiembre2019.pdf" TargetMode="External"/><Relationship Id="rId14" Type="http://schemas.openxmlformats.org/officeDocument/2006/relationships/hyperlink" Target="http://www.isa.co/es/sala-de-prensa/Documents/nuestra-compania/informe-isa-2014.pdf" TargetMode="External"/><Relationship Id="rId15" Type="http://schemas.openxmlformats.org/officeDocument/2006/relationships/hyperlink" Target="http://www.isa.co/es/sala-de-prensa/Documents/nuestra-compania/informes-empresariales/15jun2016-reporte-integrado-de-gestion-isa-2015.pdf" TargetMode="External"/><Relationship Id="rId16" Type="http://schemas.openxmlformats.org/officeDocument/2006/relationships/hyperlink" Target="http://www.isa.co/es/sala-de-prensa/Documents/nuestra-compania/informes-empresariales/ReporteIntegradodeGest&#769;ionISA2016.pdf" TargetMode="External"/><Relationship Id="rId17" Type="http://schemas.openxmlformats.org/officeDocument/2006/relationships/hyperlink" Target="http://www.isa.co/es/sala-de-prensa/Documents/nuestra-compania/informes-empresariales/Reporte%20Integrado%20ISA%202017.pdf" TargetMode="External"/><Relationship Id="rId18" Type="http://schemas.openxmlformats.org/officeDocument/2006/relationships/hyperlink" Target="http://www.isa.co/es/sala-de-prensa/Documents/nuestra-compania/informes-empresariales/informe%202019/Reporte%20Integrado%20ISA%202018.pdf" TargetMode="External"/><Relationship Id="rId19" Type="http://schemas.openxmlformats.org/officeDocument/2006/relationships/hyperlink" Target="http://www.isa.co/es/sala-de-prensa/Documents/relacion-con-inversionistas/Webcast/1Q2019/ISAInf1Q19_ES.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775DE-0CDB-904A-81F5-A2424003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1975</Words>
  <Characters>10868</Characters>
  <Application>Microsoft Macintosh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CAMILA TORRES CASTRO</dc:creator>
  <cp:keywords/>
  <dc:description/>
  <cp:lastModifiedBy>Usuario de Microsoft Office</cp:lastModifiedBy>
  <cp:revision>2</cp:revision>
  <dcterms:created xsi:type="dcterms:W3CDTF">2020-10-30T15:40:00Z</dcterms:created>
  <dcterms:modified xsi:type="dcterms:W3CDTF">2020-10-30T15:40:00Z</dcterms:modified>
</cp:coreProperties>
</file>