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341" w:type="dxa"/>
        <w:tblInd w:w="-1423" w:type="dxa"/>
        <w:tblLook w:val="04A0" w:firstRow="1" w:lastRow="0" w:firstColumn="1" w:lastColumn="0" w:noHBand="0" w:noVBand="1"/>
      </w:tblPr>
      <w:tblGrid>
        <w:gridCol w:w="3260"/>
        <w:gridCol w:w="2978"/>
        <w:gridCol w:w="1645"/>
        <w:gridCol w:w="1152"/>
        <w:gridCol w:w="1153"/>
        <w:gridCol w:w="1153"/>
      </w:tblGrid>
      <w:tr w:rsidR="005416AF" w:rsidRPr="00200610" w14:paraId="34E9F7B6" w14:textId="77777777" w:rsidTr="00C027A8">
        <w:tc>
          <w:tcPr>
            <w:tcW w:w="11341" w:type="dxa"/>
            <w:gridSpan w:val="6"/>
            <w:vAlign w:val="center"/>
          </w:tcPr>
          <w:p w14:paraId="07467458" w14:textId="77777777" w:rsidR="005416AF" w:rsidRPr="00200610" w:rsidRDefault="00E7544E" w:rsidP="00931ED6">
            <w:pPr>
              <w:jc w:val="center"/>
              <w:rPr>
                <w:rFonts w:asciiTheme="minorHAnsi" w:hAnsiTheme="minorHAnsi" w:cs="Arial"/>
                <w:sz w:val="32"/>
              </w:rPr>
            </w:pPr>
            <w:r w:rsidRPr="00200610">
              <w:rPr>
                <w:rFonts w:asciiTheme="minorHAnsi" w:hAnsiTheme="minorHAnsi" w:cs="Arial"/>
                <w:b/>
                <w:smallCaps/>
                <w:sz w:val="32"/>
              </w:rPr>
              <w:t>Trabajo Final</w:t>
            </w:r>
          </w:p>
        </w:tc>
      </w:tr>
      <w:tr w:rsidR="00742980" w:rsidRPr="00200610" w14:paraId="46722834" w14:textId="77777777" w:rsidTr="00C027A8">
        <w:trPr>
          <w:trHeight w:val="420"/>
        </w:trPr>
        <w:tc>
          <w:tcPr>
            <w:tcW w:w="3260" w:type="dxa"/>
            <w:vAlign w:val="center"/>
          </w:tcPr>
          <w:p w14:paraId="0ED0CD3F" w14:textId="77777777" w:rsidR="00B5715E" w:rsidRPr="00200610" w:rsidRDefault="00E7544E" w:rsidP="00931ED6">
            <w:pPr>
              <w:rPr>
                <w:rFonts w:asciiTheme="minorHAnsi" w:hAnsiTheme="minorHAnsi" w:cs="Arial"/>
                <w:b/>
              </w:rPr>
            </w:pPr>
            <w:r w:rsidRPr="00200610">
              <w:rPr>
                <w:rFonts w:asciiTheme="minorHAnsi" w:hAnsiTheme="minorHAnsi" w:cs="Arial"/>
                <w:b/>
              </w:rPr>
              <w:t>Letra Asignada</w:t>
            </w:r>
          </w:p>
        </w:tc>
        <w:tc>
          <w:tcPr>
            <w:tcW w:w="2978" w:type="dxa"/>
            <w:vAlign w:val="center"/>
          </w:tcPr>
          <w:p w14:paraId="7B5EB257" w14:textId="04B8B10E" w:rsidR="00B5715E" w:rsidRPr="00B26AE3" w:rsidRDefault="004A57B8" w:rsidP="004A57B8">
            <w:pPr>
              <w:jc w:val="center"/>
              <w:rPr>
                <w:rFonts w:asciiTheme="minorHAnsi" w:hAnsiTheme="minorHAnsi" w:cs="Arial"/>
                <w:b/>
              </w:rPr>
            </w:pPr>
            <w:r w:rsidRPr="00B26AE3">
              <w:rPr>
                <w:rFonts w:asciiTheme="minorHAnsi" w:hAnsiTheme="minorHAnsi" w:cs="Arial"/>
                <w:b/>
              </w:rPr>
              <w:t>R</w:t>
            </w:r>
          </w:p>
        </w:tc>
        <w:tc>
          <w:tcPr>
            <w:tcW w:w="1645" w:type="dxa"/>
            <w:vAlign w:val="center"/>
          </w:tcPr>
          <w:p w14:paraId="7AECA63E" w14:textId="77777777" w:rsidR="00B5715E" w:rsidRPr="00200610" w:rsidRDefault="00E7544E" w:rsidP="00931ED6">
            <w:pPr>
              <w:rPr>
                <w:rFonts w:asciiTheme="minorHAnsi" w:hAnsiTheme="minorHAnsi" w:cs="Arial"/>
                <w:b/>
              </w:rPr>
            </w:pPr>
            <w:r w:rsidRPr="00200610">
              <w:rPr>
                <w:rFonts w:asciiTheme="minorHAnsi" w:hAnsiTheme="minorHAnsi" w:cs="Arial"/>
                <w:b/>
              </w:rPr>
              <w:t>Fecha</w:t>
            </w:r>
          </w:p>
        </w:tc>
        <w:tc>
          <w:tcPr>
            <w:tcW w:w="1152" w:type="dxa"/>
            <w:vAlign w:val="center"/>
          </w:tcPr>
          <w:p w14:paraId="63B2956D" w14:textId="291F1EBC" w:rsidR="00B5715E" w:rsidRPr="00200610" w:rsidRDefault="004A57B8" w:rsidP="00931ED6">
            <w:pPr>
              <w:rPr>
                <w:rFonts w:asciiTheme="minorHAnsi" w:hAnsiTheme="minorHAnsi" w:cs="Arial"/>
                <w:b/>
                <w:color w:val="808080" w:themeColor="background1" w:themeShade="80"/>
              </w:rPr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</w:rPr>
              <w:t>1</w:t>
            </w:r>
            <w:r w:rsidR="00346A3D">
              <w:rPr>
                <w:rFonts w:asciiTheme="minorHAnsi" w:hAnsiTheme="minorHAnsi" w:cs="Arial"/>
                <w:b/>
                <w:color w:val="808080" w:themeColor="background1" w:themeShade="80"/>
              </w:rPr>
              <w:t>7</w:t>
            </w:r>
          </w:p>
        </w:tc>
        <w:tc>
          <w:tcPr>
            <w:tcW w:w="1153" w:type="dxa"/>
            <w:vAlign w:val="center"/>
          </w:tcPr>
          <w:p w14:paraId="551B6F02" w14:textId="15E950A2" w:rsidR="00B5715E" w:rsidRPr="00200610" w:rsidRDefault="004A57B8" w:rsidP="00931ED6">
            <w:pPr>
              <w:rPr>
                <w:rFonts w:asciiTheme="minorHAnsi" w:hAnsiTheme="minorHAnsi" w:cs="Arial"/>
                <w:b/>
                <w:color w:val="808080" w:themeColor="background1" w:themeShade="80"/>
              </w:rPr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</w:rPr>
              <w:t>05</w:t>
            </w:r>
          </w:p>
        </w:tc>
        <w:tc>
          <w:tcPr>
            <w:tcW w:w="1153" w:type="dxa"/>
            <w:vAlign w:val="center"/>
          </w:tcPr>
          <w:p w14:paraId="187E7599" w14:textId="32C724C7" w:rsidR="00B5715E" w:rsidRPr="00200610" w:rsidRDefault="004A57B8" w:rsidP="00931ED6">
            <w:pPr>
              <w:rPr>
                <w:rFonts w:asciiTheme="minorHAnsi" w:hAnsiTheme="minorHAnsi" w:cs="Arial"/>
                <w:b/>
                <w:color w:val="808080" w:themeColor="background1" w:themeShade="80"/>
              </w:rPr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</w:rPr>
              <w:t>18</w:t>
            </w:r>
          </w:p>
        </w:tc>
      </w:tr>
      <w:tr w:rsidR="00B5715E" w:rsidRPr="00200610" w14:paraId="6F5548AF" w14:textId="77777777" w:rsidTr="00C027A8">
        <w:trPr>
          <w:trHeight w:val="250"/>
        </w:trPr>
        <w:tc>
          <w:tcPr>
            <w:tcW w:w="11341" w:type="dxa"/>
            <w:gridSpan w:val="6"/>
          </w:tcPr>
          <w:p w14:paraId="247D2085" w14:textId="36BEAD50" w:rsidR="00E7544E" w:rsidRPr="00200610" w:rsidRDefault="00E7544E" w:rsidP="00931ED6">
            <w:pPr>
              <w:rPr>
                <w:rFonts w:asciiTheme="minorHAnsi" w:hAnsiTheme="minorHAnsi" w:cs="Arial"/>
                <w:b/>
                <w:smallCaps/>
              </w:rPr>
            </w:pPr>
            <w:r w:rsidRPr="00200610">
              <w:rPr>
                <w:rFonts w:asciiTheme="minorHAnsi" w:hAnsiTheme="minorHAnsi" w:cs="Arial"/>
                <w:b/>
                <w:smallCaps/>
              </w:rPr>
              <w:t xml:space="preserve">Recomendación </w:t>
            </w:r>
            <w:r w:rsidR="008C7A5A" w:rsidRPr="008C7A5A">
              <w:rPr>
                <w:rFonts w:asciiTheme="minorHAnsi" w:hAnsiTheme="minorHAnsi" w:cs="Arial"/>
                <w:smallCaps/>
              </w:rPr>
              <w:t>(</w:t>
            </w:r>
            <w:r w:rsidR="003C405D">
              <w:rPr>
                <w:rFonts w:asciiTheme="minorHAnsi" w:hAnsiTheme="minorHAnsi" w:cs="Arial"/>
              </w:rPr>
              <w:t>Máximo 10</w:t>
            </w:r>
            <w:r w:rsidRPr="00200610">
              <w:rPr>
                <w:rFonts w:asciiTheme="minorHAnsi" w:hAnsiTheme="minorHAnsi" w:cs="Arial"/>
              </w:rPr>
              <w:t>0 palabras</w:t>
            </w:r>
            <w:r w:rsidRPr="00200610">
              <w:rPr>
                <w:rFonts w:asciiTheme="minorHAnsi" w:hAnsiTheme="minorHAnsi" w:cs="Arial"/>
                <w:smallCaps/>
              </w:rPr>
              <w:t>)</w:t>
            </w:r>
            <w:r w:rsidR="008C7A5A">
              <w:rPr>
                <w:rFonts w:asciiTheme="minorHAnsi" w:hAnsiTheme="minorHAnsi" w:cs="Arial"/>
                <w:smallCaps/>
              </w:rPr>
              <w:t xml:space="preserve"> 5 puntos contenido</w:t>
            </w:r>
          </w:p>
        </w:tc>
      </w:tr>
      <w:tr w:rsidR="00E7544E" w:rsidRPr="00931ED6" w14:paraId="601B225A" w14:textId="77777777" w:rsidTr="00C027A8">
        <w:trPr>
          <w:trHeight w:val="1546"/>
        </w:trPr>
        <w:tc>
          <w:tcPr>
            <w:tcW w:w="11341" w:type="dxa"/>
            <w:gridSpan w:val="6"/>
          </w:tcPr>
          <w:p w14:paraId="35D24E85" w14:textId="0825A162" w:rsidR="00346A3D" w:rsidRPr="003C405D" w:rsidRDefault="004A57B8" w:rsidP="004A57B8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BE18E9">
              <w:rPr>
                <w:rFonts w:asciiTheme="minorHAnsi" w:hAnsiTheme="minorHAnsi" w:cs="Calibri"/>
                <w:sz w:val="22"/>
                <w:szCs w:val="22"/>
              </w:rPr>
              <w:t xml:space="preserve">Se recomienda al comité de inversiones, adquirir participación accionaria hasta el 10% de Avianca, por un plazo superior a 12 meses, ya que la compañía tiene una posición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de liderazgo </w:t>
            </w:r>
            <w:r w:rsidRPr="00BE18E9">
              <w:rPr>
                <w:rFonts w:asciiTheme="minorHAnsi" w:hAnsiTheme="minorHAnsi" w:cs="Calibri"/>
                <w:sz w:val="22"/>
                <w:szCs w:val="22"/>
              </w:rPr>
              <w:t xml:space="preserve"> en el mercado e incrementó  la rentabilidad  de sus ventas y el pago de dividendos, a pesar del paro de pilotos que se presentó en 2017. Asimismo, porque ha logrado mantener un Margen EBITDA entre 10,3% y 13,7%. Cabe resaltar, que la firma cuenta con un endeudamiento estratégico,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que </w:t>
            </w:r>
            <w:r w:rsidRPr="00BE18E9">
              <w:rPr>
                <w:rFonts w:asciiTheme="minorHAnsi" w:hAnsiTheme="minorHAnsi" w:cs="Calibri"/>
                <w:sz w:val="22"/>
                <w:szCs w:val="22"/>
              </w:rPr>
              <w:t xml:space="preserve"> le  ha permitido optimizar su operación con una de  las flotas más modernas y lograr reducir los costos en un futuro</w:t>
            </w:r>
            <w:r w:rsidR="003C405D" w:rsidRPr="003C405D">
              <w:rPr>
                <w:rFonts w:asciiTheme="minorHAnsi" w:hAnsiTheme="minorHAnsi" w:cs="Arial"/>
                <w:sz w:val="22"/>
              </w:rPr>
              <w:t>.</w:t>
            </w:r>
            <w:r w:rsidR="00E7544E" w:rsidRPr="00931ED6">
              <w:rPr>
                <w:rFonts w:asciiTheme="minorHAnsi" w:hAnsiTheme="minorHAnsi" w:cs="Arial"/>
                <w:sz w:val="22"/>
              </w:rPr>
              <w:t>(</w:t>
            </w:r>
            <w:r w:rsidR="00200610" w:rsidRPr="00931ED6">
              <w:rPr>
                <w:rFonts w:asciiTheme="minorHAnsi" w:hAnsiTheme="minorHAnsi" w:cs="Arial"/>
                <w:sz w:val="22"/>
              </w:rPr>
              <w:t>1</w:t>
            </w:r>
            <w:r w:rsidR="003C405D">
              <w:rPr>
                <w:rFonts w:asciiTheme="minorHAnsi" w:hAnsiTheme="minorHAnsi" w:cs="Arial"/>
                <w:sz w:val="22"/>
              </w:rPr>
              <w:t>0</w:t>
            </w:r>
            <w:r w:rsidR="00200610" w:rsidRPr="00931ED6">
              <w:rPr>
                <w:rFonts w:asciiTheme="minorHAnsi" w:hAnsiTheme="minorHAnsi" w:cs="Arial"/>
                <w:sz w:val="22"/>
              </w:rPr>
              <w:t>0</w:t>
            </w:r>
            <w:r w:rsidR="00346A3D">
              <w:rPr>
                <w:rFonts w:asciiTheme="minorHAnsi" w:hAnsiTheme="minorHAnsi" w:cs="Arial"/>
                <w:sz w:val="22"/>
              </w:rPr>
              <w:t>)</w:t>
            </w:r>
          </w:p>
        </w:tc>
      </w:tr>
      <w:tr w:rsidR="003C405D" w:rsidRPr="00931ED6" w14:paraId="364DE9EF" w14:textId="77777777" w:rsidTr="00C027A8">
        <w:trPr>
          <w:trHeight w:val="275"/>
        </w:trPr>
        <w:tc>
          <w:tcPr>
            <w:tcW w:w="11341" w:type="dxa"/>
            <w:gridSpan w:val="6"/>
          </w:tcPr>
          <w:p w14:paraId="0D133E69" w14:textId="7E6F6CED" w:rsidR="003C405D" w:rsidRPr="003C405D" w:rsidRDefault="003C405D" w:rsidP="00931ED6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200610">
              <w:rPr>
                <w:rFonts w:asciiTheme="minorHAnsi" w:hAnsiTheme="minorHAnsi" w:cs="Arial"/>
                <w:b/>
                <w:smallCaps/>
              </w:rPr>
              <w:t xml:space="preserve">Análisis Macroeconómico </w:t>
            </w:r>
            <w:r w:rsidRPr="00200610">
              <w:rPr>
                <w:rFonts w:asciiTheme="minorHAnsi" w:hAnsiTheme="minorHAnsi" w:cs="Arial"/>
                <w:smallCaps/>
              </w:rPr>
              <w:t>(</w:t>
            </w:r>
            <w:r w:rsidRPr="00200610">
              <w:rPr>
                <w:rFonts w:asciiTheme="minorHAnsi" w:hAnsiTheme="minorHAnsi" w:cs="Arial"/>
              </w:rPr>
              <w:t xml:space="preserve">Máximo </w:t>
            </w:r>
            <w:r>
              <w:rPr>
                <w:rFonts w:asciiTheme="minorHAnsi" w:hAnsiTheme="minorHAnsi" w:cs="Arial"/>
              </w:rPr>
              <w:t>10</w:t>
            </w:r>
            <w:r w:rsidRPr="00200610">
              <w:rPr>
                <w:rFonts w:asciiTheme="minorHAnsi" w:hAnsiTheme="minorHAnsi" w:cs="Arial"/>
              </w:rPr>
              <w:t>0 palabras</w:t>
            </w:r>
            <w:r w:rsidRPr="00200610">
              <w:rPr>
                <w:rFonts w:asciiTheme="minorHAnsi" w:hAnsiTheme="minorHAnsi" w:cs="Arial"/>
                <w:smallCaps/>
              </w:rPr>
              <w:t>)</w:t>
            </w:r>
            <w:r>
              <w:rPr>
                <w:rFonts w:asciiTheme="minorHAnsi" w:hAnsiTheme="minorHAnsi" w:cs="Arial"/>
                <w:smallCaps/>
              </w:rPr>
              <w:t xml:space="preserve">: Principales riesgos </w:t>
            </w:r>
            <w:r w:rsidR="00C9002E">
              <w:rPr>
                <w:rFonts w:asciiTheme="minorHAnsi" w:hAnsiTheme="minorHAnsi" w:cs="Arial"/>
                <w:smallCaps/>
              </w:rPr>
              <w:t xml:space="preserve">para la empresa </w:t>
            </w:r>
            <w:r>
              <w:rPr>
                <w:rFonts w:asciiTheme="minorHAnsi" w:hAnsiTheme="minorHAnsi" w:cs="Arial"/>
                <w:smallCaps/>
              </w:rPr>
              <w:t>/ Mitigantes</w:t>
            </w:r>
            <w:r w:rsidR="008C7A5A">
              <w:rPr>
                <w:rFonts w:asciiTheme="minorHAnsi" w:hAnsiTheme="minorHAnsi" w:cs="Arial"/>
                <w:smallCaps/>
              </w:rPr>
              <w:t xml:space="preserve"> 5 puntos contenido</w:t>
            </w:r>
          </w:p>
        </w:tc>
      </w:tr>
      <w:tr w:rsidR="003C405D" w:rsidRPr="00931ED6" w14:paraId="4E784018" w14:textId="77777777" w:rsidTr="00C027A8">
        <w:trPr>
          <w:trHeight w:val="281"/>
        </w:trPr>
        <w:tc>
          <w:tcPr>
            <w:tcW w:w="11341" w:type="dxa"/>
            <w:gridSpan w:val="6"/>
          </w:tcPr>
          <w:p w14:paraId="53B47EFB" w14:textId="7B99557C" w:rsidR="003C405D" w:rsidRPr="00CD15CD" w:rsidRDefault="004A57B8" w:rsidP="00931ED6">
            <w:pPr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 transporte aéreo de pasajeros  y de carga requiere un suministro constante  de combustible, y es, precisamente,  su volatilidad de precio  uno de los mayores riesgos que </w:t>
            </w:r>
            <w:r w:rsidR="00844B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enfrentan las compañías </w:t>
            </w:r>
            <w:r w:rsidR="00346A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del </w:t>
            </w:r>
            <w:r w:rsidR="00CC45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sector aéreo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 y  ha pasado de COP $3.797 a COP $4.609 para el 2017. Asimismo,</w:t>
            </w:r>
            <w:r w:rsidR="00844B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 enfrentan  a las fluctuaciones de la  tasa de cambio, y  a un crecimiento desacelerado de la econom</w:t>
            </w:r>
            <w:r w:rsidR="00B14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ía colomb</w:t>
            </w:r>
            <w:r w:rsidR="00346A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iana al pasar de </w:t>
            </w:r>
            <w:r w:rsidR="00B14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2,0% a 1,8% para el año 2017, según el DANE</w:t>
            </w:r>
            <w:r w:rsidR="00346A3D">
              <w:rPr>
                <w:rFonts w:asciiTheme="minorHAnsi" w:hAnsiTheme="minorHAnsi" w:cs="Arial"/>
                <w:sz w:val="22"/>
              </w:rPr>
              <w:t xml:space="preserve">. Cabe resaltar, que el riesgo país de Colombia se mantiene en una perspectiva de calificación estable, realizada por </w:t>
            </w:r>
            <w:r w:rsidR="00346A3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Fitch Rating</w:t>
            </w:r>
            <w:r w:rsidR="00CD1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</w:t>
            </w:r>
            <w:r w:rsidR="00CD1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(98)</w:t>
            </w:r>
          </w:p>
        </w:tc>
      </w:tr>
      <w:tr w:rsidR="00200610" w:rsidRPr="00200610" w14:paraId="0E4B82CE" w14:textId="77777777" w:rsidTr="00C027A8">
        <w:trPr>
          <w:trHeight w:val="323"/>
        </w:trPr>
        <w:tc>
          <w:tcPr>
            <w:tcW w:w="11341" w:type="dxa"/>
            <w:gridSpan w:val="6"/>
          </w:tcPr>
          <w:p w14:paraId="3E2AE2CC" w14:textId="5A7B03F1" w:rsidR="00200610" w:rsidRPr="00200610" w:rsidRDefault="00200610" w:rsidP="00931ED6">
            <w:pPr>
              <w:jc w:val="both"/>
              <w:rPr>
                <w:rFonts w:asciiTheme="minorHAnsi" w:hAnsiTheme="minorHAnsi" w:cs="Arial"/>
              </w:rPr>
            </w:pPr>
            <w:r w:rsidRPr="00200610">
              <w:rPr>
                <w:rFonts w:asciiTheme="minorHAnsi" w:hAnsiTheme="minorHAnsi" w:cs="Arial"/>
                <w:b/>
                <w:smallCaps/>
              </w:rPr>
              <w:t xml:space="preserve">Análisis </w:t>
            </w:r>
            <w:r w:rsidR="00A66D52">
              <w:rPr>
                <w:rFonts w:asciiTheme="minorHAnsi" w:hAnsiTheme="minorHAnsi" w:cs="Arial"/>
                <w:b/>
                <w:smallCaps/>
              </w:rPr>
              <w:t>de I</w:t>
            </w:r>
            <w:r>
              <w:rPr>
                <w:rFonts w:asciiTheme="minorHAnsi" w:hAnsiTheme="minorHAnsi" w:cs="Arial"/>
                <w:b/>
                <w:smallCaps/>
              </w:rPr>
              <w:t xml:space="preserve">ndustria </w:t>
            </w:r>
            <w:r w:rsidR="003C405D">
              <w:rPr>
                <w:rFonts w:asciiTheme="minorHAnsi" w:hAnsiTheme="minorHAnsi" w:cs="Arial"/>
                <w:b/>
                <w:smallCaps/>
              </w:rPr>
              <w:t xml:space="preserve">y Factores Clave de Éxito </w:t>
            </w:r>
            <w:r w:rsidRPr="00200610">
              <w:rPr>
                <w:rFonts w:asciiTheme="minorHAnsi" w:hAnsiTheme="minorHAnsi" w:cs="Arial"/>
                <w:smallCaps/>
              </w:rPr>
              <w:t>(</w:t>
            </w:r>
            <w:r w:rsidRPr="00200610">
              <w:rPr>
                <w:rFonts w:asciiTheme="minorHAnsi" w:hAnsiTheme="minorHAnsi" w:cs="Arial"/>
              </w:rPr>
              <w:t xml:space="preserve">Máximo </w:t>
            </w:r>
            <w:r w:rsidR="00931ED6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>0</w:t>
            </w:r>
            <w:r w:rsidRPr="00200610">
              <w:rPr>
                <w:rFonts w:asciiTheme="minorHAnsi" w:hAnsiTheme="minorHAnsi" w:cs="Arial"/>
              </w:rPr>
              <w:t>0 palabras</w:t>
            </w:r>
            <w:r w:rsidRPr="00200610">
              <w:rPr>
                <w:rFonts w:asciiTheme="minorHAnsi" w:hAnsiTheme="minorHAnsi" w:cs="Arial"/>
                <w:smallCaps/>
              </w:rPr>
              <w:t>)</w:t>
            </w:r>
            <w:r w:rsidR="008C7A5A">
              <w:rPr>
                <w:rFonts w:asciiTheme="minorHAnsi" w:hAnsiTheme="minorHAnsi" w:cs="Arial"/>
                <w:smallCaps/>
              </w:rPr>
              <w:t xml:space="preserve"> 5 puntos contenido</w:t>
            </w:r>
          </w:p>
        </w:tc>
      </w:tr>
      <w:tr w:rsidR="00200610" w:rsidRPr="008C7A5A" w14:paraId="185E3098" w14:textId="77777777" w:rsidTr="00C027A8">
        <w:trPr>
          <w:trHeight w:val="5441"/>
        </w:trPr>
        <w:tc>
          <w:tcPr>
            <w:tcW w:w="11341" w:type="dxa"/>
            <w:gridSpan w:val="6"/>
          </w:tcPr>
          <w:p w14:paraId="04D5609B" w14:textId="1B42DD0E" w:rsidR="004A57B8" w:rsidRDefault="004A57B8" w:rsidP="004A57B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2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3F19A46A" wp14:editId="3CEB8D1D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0</wp:posOffset>
                  </wp:positionV>
                  <wp:extent cx="2830195" cy="1779905"/>
                  <wp:effectExtent l="0" t="0" r="8255" b="0"/>
                  <wp:wrapThrough wrapText="bothSides">
                    <wp:wrapPolygon edited="0">
                      <wp:start x="0" y="0"/>
                      <wp:lineTo x="0" y="21269"/>
                      <wp:lineTo x="21518" y="21269"/>
                      <wp:lineTo x="21518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rticipacion en el mercado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42" t="-2302" r="-348" b="-1394"/>
                          <a:stretch/>
                        </pic:blipFill>
                        <pic:spPr bwMode="auto">
                          <a:xfrm>
                            <a:off x="0" y="0"/>
                            <a:ext cx="2830195" cy="1779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6CD6">
              <w:rPr>
                <w:rFonts w:asciiTheme="minorHAnsi" w:hAnsiTheme="minorHAnsi" w:cs="Arial"/>
                <w:color w:val="000000"/>
                <w:sz w:val="22"/>
              </w:rPr>
              <w:t>Avianca Holdings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S.A</w:t>
            </w:r>
            <w:r w:rsidRPr="00BB6CD6">
              <w:rPr>
                <w:rFonts w:asciiTheme="minorHAnsi" w:hAnsiTheme="minorHAnsi" w:cs="Arial"/>
                <w:color w:val="000000"/>
                <w:sz w:val="22"/>
              </w:rPr>
              <w:t xml:space="preserve">  tiene una posición de liderazgo en el sector aéreo de Latinoamérica,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basándose en una estrategia de negocio que le brinda al cliente una experiencia segura, completa y agradable, así</w:t>
            </w:r>
            <w:r w:rsidRPr="008768DE">
              <w:rPr>
                <w:rFonts w:asciiTheme="minorHAnsi" w:hAnsiTheme="minorHAnsi" w:cs="Arial"/>
                <w:color w:val="000000"/>
                <w:sz w:val="22"/>
              </w:rPr>
              <w:t xml:space="preserve">  los clientes ejercen un poder alto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, puesto que  pueden  exigir mejor calidad, servicio, y  no asumen elevados costos por cambiar de aerolínea. Por otra parte, e</w:t>
            </w:r>
            <w:r w:rsidRPr="00BB6CD6">
              <w:rPr>
                <w:rFonts w:asciiTheme="minorHAnsi" w:hAnsiTheme="minorHAnsi" w:cs="Arial"/>
                <w:color w:val="000000"/>
                <w:sz w:val="22"/>
              </w:rPr>
              <w:t xml:space="preserve">n  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este tipo de industria, </w:t>
            </w:r>
            <w:r w:rsidRPr="00BB6CD6">
              <w:rPr>
                <w:rFonts w:asciiTheme="minorHAnsi" w:hAnsiTheme="minorHAnsi" w:cs="Arial"/>
                <w:color w:val="000000"/>
                <w:sz w:val="22"/>
              </w:rPr>
              <w:t>la rivalidad entre sus competidores es intensa, porque  cada compañía busca ser líder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en el mercado, </w:t>
            </w:r>
            <w:r w:rsidRPr="00BB6CD6">
              <w:rPr>
                <w:rFonts w:asciiTheme="minorHAnsi" w:hAnsiTheme="minorHAnsi" w:cs="Arial"/>
                <w:color w:val="000000"/>
                <w:sz w:val="22"/>
              </w:rPr>
              <w:t>entre ellos se encuentra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Copa </w:t>
            </w:r>
            <w:r w:rsidRPr="008768DE">
              <w:rPr>
                <w:rFonts w:asciiTheme="minorHAnsi" w:hAnsiTheme="minorHAnsi" w:cs="Arial"/>
                <w:i/>
                <w:color w:val="000000"/>
                <w:sz w:val="22"/>
              </w:rPr>
              <w:t>Airlines</w:t>
            </w:r>
            <w:r w:rsidR="00B26AE3">
              <w:rPr>
                <w:rFonts w:asciiTheme="minorHAnsi" w:hAnsiTheme="minorHAnsi" w:cs="Arial"/>
                <w:color w:val="000000"/>
                <w:sz w:val="22"/>
              </w:rPr>
              <w:t xml:space="preserve"> y LATAM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r w:rsidRPr="008768DE">
              <w:rPr>
                <w:rFonts w:asciiTheme="minorHAnsi" w:hAnsiTheme="minorHAnsi" w:cs="Arial"/>
                <w:i/>
                <w:color w:val="000000"/>
                <w:sz w:val="22"/>
              </w:rPr>
              <w:t>Airlines</w:t>
            </w:r>
            <w:r>
              <w:rPr>
                <w:rFonts w:asciiTheme="minorHAnsi" w:hAnsiTheme="minorHAnsi" w:cs="Arial"/>
                <w:i/>
                <w:color w:val="000000"/>
                <w:sz w:val="22"/>
              </w:rPr>
              <w:t>;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sin embargo, las barreras de entrada son altas, ya que </w:t>
            </w:r>
            <w:r w:rsidRPr="00BB6CD6">
              <w:rPr>
                <w:rFonts w:asciiTheme="minorHAnsi" w:hAnsiTheme="minorHAnsi" w:cs="Arial"/>
                <w:color w:val="000000"/>
                <w:sz w:val="22"/>
              </w:rPr>
              <w:t xml:space="preserve">se requiere  grandes cantidades de </w:t>
            </w:r>
            <w:r>
              <w:rPr>
                <w:rFonts w:asciiTheme="minorHAnsi" w:hAnsiTheme="minorHAnsi" w:cs="Arial"/>
                <w:color w:val="000000"/>
                <w:sz w:val="22"/>
              </w:rPr>
              <w:t>c</w:t>
            </w:r>
            <w:r w:rsidRPr="00BB6CD6">
              <w:rPr>
                <w:rFonts w:asciiTheme="minorHAnsi" w:hAnsiTheme="minorHAnsi" w:cs="Arial"/>
                <w:color w:val="000000"/>
                <w:sz w:val="22"/>
              </w:rPr>
              <w:t>apital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. </w:t>
            </w:r>
          </w:p>
          <w:p w14:paraId="327441AE" w14:textId="21EF87FC" w:rsidR="00F312B7" w:rsidRDefault="00CC45D1" w:rsidP="004A57B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rFonts w:asciiTheme="minorHAnsi" w:hAnsiTheme="minorHAnsi" w:cs="Arial"/>
                <w:noProof/>
                <w:sz w:val="22"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363C8B5E" wp14:editId="21547377">
                  <wp:simplePos x="0" y="0"/>
                  <wp:positionH relativeFrom="column">
                    <wp:posOffset>4173220</wp:posOffset>
                  </wp:positionH>
                  <wp:positionV relativeFrom="paragraph">
                    <wp:posOffset>122744</wp:posOffset>
                  </wp:positionV>
                  <wp:extent cx="2820035" cy="1770380"/>
                  <wp:effectExtent l="0" t="0" r="0" b="1270"/>
                  <wp:wrapThrough wrapText="bothSides">
                    <wp:wrapPolygon edited="0">
                      <wp:start x="0" y="0"/>
                      <wp:lineTo x="0" y="21383"/>
                      <wp:lineTo x="21449" y="21383"/>
                      <wp:lineTo x="21449" y="0"/>
                      <wp:lineTo x="0" y="0"/>
                    </wp:wrapPolygon>
                  </wp:wrapThrough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orter el correct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035" cy="17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2B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CE6E1F" wp14:editId="4B12658C">
                      <wp:simplePos x="0" y="0"/>
                      <wp:positionH relativeFrom="column">
                        <wp:posOffset>176</wp:posOffset>
                      </wp:positionH>
                      <wp:positionV relativeFrom="paragraph">
                        <wp:posOffset>132012</wp:posOffset>
                      </wp:positionV>
                      <wp:extent cx="2567940" cy="272375"/>
                      <wp:effectExtent l="0" t="0" r="0" b="0"/>
                      <wp:wrapNone/>
                      <wp:docPr id="4" name="Cuadro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7940" cy="272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B6C8915" w14:textId="1F1DAF04" w:rsidR="004A57B8" w:rsidRPr="00657C6C" w:rsidRDefault="004A57B8" w:rsidP="004A57B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4A57B8"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  <w:t>Fuente</w:t>
                                  </w:r>
                                  <w:r w:rsidRPr="004A57B8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 Elaboración  propia.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A57B8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(Data: EMIS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E6E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4" o:spid="_x0000_s1026" type="#_x0000_t202" style="position:absolute;left:0;text-align:left;margin-left:0;margin-top:10.4pt;width:202.2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" filled="f" stroked="f">
                      <v:textbox>
                        <w:txbxContent>
                          <w:p w14:paraId="5B6C8915" w14:textId="1F1DAF04" w:rsidR="004A57B8" w:rsidRPr="00657C6C" w:rsidRDefault="004A57B8" w:rsidP="004A57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4A57B8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Fuente</w:t>
                            </w:r>
                            <w:r w:rsidRPr="004A57B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 Elaboración  propia.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57B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(Data: EMIS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68A825" w14:textId="6F272F42" w:rsidR="004A57B8" w:rsidRDefault="00DC6480" w:rsidP="004A57B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422E27" wp14:editId="62A29C33">
                      <wp:simplePos x="0" y="0"/>
                      <wp:positionH relativeFrom="column">
                        <wp:posOffset>4154778</wp:posOffset>
                      </wp:positionH>
                      <wp:positionV relativeFrom="paragraph">
                        <wp:posOffset>1652932</wp:posOffset>
                      </wp:positionV>
                      <wp:extent cx="2085896" cy="276208"/>
                      <wp:effectExtent l="0" t="0" r="0" b="0"/>
                      <wp:wrapNone/>
                      <wp:docPr id="11" name="Cuadro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896" cy="27620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BA4E4F6" w14:textId="77777777" w:rsidR="004A57B8" w:rsidRPr="00657C6C" w:rsidRDefault="004A57B8" w:rsidP="004A57B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DC6480"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</w:rPr>
                                    <w:t>Fuente</w:t>
                                  </w:r>
                                  <w:r w:rsidRPr="00DC6480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: Elaboración  propia</w:t>
                                  </w:r>
                                  <w:r w:rsidRPr="00657C6C">
                                    <w:t>.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22E27" id="_x0000_s1027" type="#_x0000_t202" style="position:absolute;left:0;text-align:left;margin-left:327.15pt;margin-top:130.15pt;width:164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" filled="f" stroked="f">
                      <v:textbox>
                        <w:txbxContent>
                          <w:p w14:paraId="0BA4E4F6" w14:textId="77777777" w:rsidR="004A57B8" w:rsidRPr="00657C6C" w:rsidRDefault="004A57B8" w:rsidP="004A57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C6480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Fuente</w:t>
                            </w:r>
                            <w:r w:rsidRPr="00DC6480">
                              <w:rPr>
                                <w:rFonts w:asciiTheme="minorHAnsi" w:hAnsiTheme="minorHAnsi"/>
                                <w:sz w:val="18"/>
                              </w:rPr>
                              <w:t>: Elaboración  propia</w:t>
                            </w:r>
                            <w:r w:rsidRPr="00657C6C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7B8">
              <w:rPr>
                <w:rFonts w:asciiTheme="minorHAnsi" w:hAnsiTheme="minorHAnsi" w:cs="Arial"/>
                <w:color w:val="000000"/>
                <w:sz w:val="22"/>
              </w:rPr>
              <w:t>E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n </w:t>
            </w:r>
            <w:r w:rsidR="004A57B8" w:rsidRPr="00BB6CD6">
              <w:rPr>
                <w:rFonts w:asciiTheme="minorHAnsi" w:hAnsiTheme="minorHAnsi" w:cs="Arial"/>
                <w:color w:val="000000"/>
                <w:sz w:val="22"/>
              </w:rPr>
              <w:t>este mercado, los proveedores tien</w:t>
            </w:r>
            <w:r w:rsidR="004A57B8">
              <w:rPr>
                <w:rFonts w:asciiTheme="minorHAnsi" w:hAnsiTheme="minorHAnsi" w:cs="Arial"/>
                <w:color w:val="000000"/>
                <w:sz w:val="22"/>
              </w:rPr>
              <w:t>en un poder considerable, porque</w:t>
            </w:r>
            <w:r w:rsidR="004A57B8" w:rsidRPr="00BB6CD6">
              <w:rPr>
                <w:rFonts w:asciiTheme="minorHAnsi" w:hAnsiTheme="minorHAnsi" w:cs="Arial"/>
                <w:color w:val="000000"/>
                <w:sz w:val="22"/>
              </w:rPr>
              <w:t xml:space="preserve"> no existe un  substituto de mano de obra, es decir pilotos con experiencia</w:t>
            </w:r>
            <w:r w:rsidR="004A57B8">
              <w:rPr>
                <w:rFonts w:asciiTheme="minorHAnsi" w:hAnsiTheme="minorHAnsi" w:cs="Arial"/>
                <w:color w:val="000000"/>
                <w:sz w:val="22"/>
              </w:rPr>
              <w:t xml:space="preserve">, y </w:t>
            </w:r>
            <w:r w:rsidR="004A57B8" w:rsidRPr="00BB6CD6"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r w:rsidR="004A57B8">
              <w:rPr>
                <w:rFonts w:asciiTheme="minorHAnsi" w:hAnsiTheme="minorHAnsi" w:cs="Arial"/>
                <w:color w:val="000000"/>
                <w:sz w:val="22"/>
              </w:rPr>
              <w:t>a</w:t>
            </w:r>
            <w:r w:rsidR="004A57B8" w:rsidRPr="00BB6CD6">
              <w:rPr>
                <w:rFonts w:asciiTheme="minorHAnsi" w:hAnsiTheme="minorHAnsi" w:cs="Arial"/>
                <w:color w:val="000000"/>
                <w:sz w:val="22"/>
              </w:rPr>
              <w:t xml:space="preserve"> pesar del paro de pilotos, la compañía logró mantener su posición  en el mercado, puesto que cuenta  con una de las flotas más </w:t>
            </w:r>
            <w:r w:rsidR="004A57B8">
              <w:rPr>
                <w:rFonts w:asciiTheme="minorHAnsi" w:hAnsiTheme="minorHAnsi" w:cs="Arial"/>
                <w:color w:val="000000"/>
                <w:sz w:val="22"/>
              </w:rPr>
              <w:t xml:space="preserve">modernas, un programa de viajero frecuente </w:t>
            </w:r>
            <w:r w:rsidR="004A57B8" w:rsidRPr="00AD4107">
              <w:rPr>
                <w:rFonts w:asciiTheme="minorHAnsi" w:hAnsiTheme="minorHAnsi" w:cs="Arial"/>
                <w:i/>
                <w:color w:val="000000"/>
                <w:sz w:val="22"/>
              </w:rPr>
              <w:t>(LifeMiles</w:t>
            </w:r>
            <w:r w:rsidR="004A57B8">
              <w:rPr>
                <w:rFonts w:asciiTheme="minorHAnsi" w:hAnsiTheme="minorHAnsi" w:cs="Arial"/>
                <w:color w:val="000000"/>
                <w:sz w:val="22"/>
              </w:rPr>
              <w:t xml:space="preserve">) </w:t>
            </w:r>
            <w:r w:rsidR="004A57B8" w:rsidRPr="00BB6CD6">
              <w:rPr>
                <w:rFonts w:asciiTheme="minorHAnsi" w:hAnsiTheme="minorHAnsi" w:cs="Arial"/>
                <w:color w:val="000000"/>
                <w:sz w:val="22"/>
              </w:rPr>
              <w:t xml:space="preserve"> y  una   amplia red de conexiones y destinos, gracias a sus  </w:t>
            </w:r>
            <w:r w:rsidR="004A57B8">
              <w:rPr>
                <w:rFonts w:asciiTheme="minorHAnsi" w:hAnsiTheme="minorHAnsi" w:cs="Arial"/>
                <w:color w:val="000000"/>
                <w:sz w:val="22"/>
              </w:rPr>
              <w:t>acuerdos</w:t>
            </w:r>
            <w:r w:rsidR="004A57B8" w:rsidRPr="00BB6CD6">
              <w:rPr>
                <w:rFonts w:asciiTheme="minorHAnsi" w:hAnsiTheme="minorHAnsi" w:cs="Arial"/>
                <w:color w:val="000000"/>
                <w:sz w:val="22"/>
              </w:rPr>
              <w:t xml:space="preserve"> de código compartido y la membresía de </w:t>
            </w:r>
            <w:r w:rsidR="004A57B8" w:rsidRPr="00AD4107">
              <w:rPr>
                <w:rFonts w:asciiTheme="minorHAnsi" w:hAnsiTheme="minorHAnsi" w:cs="Arial"/>
                <w:i/>
                <w:color w:val="000000"/>
                <w:sz w:val="22"/>
              </w:rPr>
              <w:t>Star Alliance</w:t>
            </w:r>
            <w:r w:rsidR="004A57B8">
              <w:rPr>
                <w:rFonts w:asciiTheme="minorHAnsi" w:hAnsiTheme="minorHAnsi" w:cs="Arial"/>
                <w:color w:val="000000"/>
                <w:sz w:val="22"/>
              </w:rPr>
              <w:t>. Cabe resaltar, que no existen una variedad de bienes su</w:t>
            </w:r>
            <w:r w:rsidR="00B26AE3">
              <w:rPr>
                <w:rFonts w:asciiTheme="minorHAnsi" w:hAnsiTheme="minorHAnsi" w:cs="Arial"/>
                <w:color w:val="000000"/>
                <w:sz w:val="22"/>
              </w:rPr>
              <w:t>b</w:t>
            </w:r>
            <w:r w:rsidR="004A57B8">
              <w:rPr>
                <w:rFonts w:asciiTheme="minorHAnsi" w:hAnsiTheme="minorHAnsi" w:cs="Arial"/>
                <w:color w:val="000000"/>
                <w:sz w:val="22"/>
              </w:rPr>
              <w:t>stitutos en este sector, pero  uno de ellos son las  videoconferencias</w:t>
            </w:r>
            <w:r w:rsidR="004A57B8">
              <w:rPr>
                <w:rFonts w:asciiTheme="minorHAnsi" w:hAnsiTheme="minorHAnsi" w:cs="Arial"/>
                <w:color w:val="000000"/>
                <w:sz w:val="22"/>
              </w:rPr>
              <w:t>. (200)</w:t>
            </w:r>
          </w:p>
          <w:p w14:paraId="5F1088D5" w14:textId="4B4A1DD3" w:rsidR="004A57B8" w:rsidRPr="004A57B8" w:rsidRDefault="004A57B8" w:rsidP="004A57B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</w:p>
        </w:tc>
      </w:tr>
      <w:tr w:rsidR="00C027A8" w:rsidRPr="00200610" w14:paraId="4BC29E0A" w14:textId="77777777" w:rsidTr="00C027A8">
        <w:trPr>
          <w:trHeight w:val="323"/>
        </w:trPr>
        <w:tc>
          <w:tcPr>
            <w:tcW w:w="11341" w:type="dxa"/>
            <w:gridSpan w:val="6"/>
          </w:tcPr>
          <w:p w14:paraId="253A61B2" w14:textId="77777777" w:rsidR="00C027A8" w:rsidRPr="00200610" w:rsidRDefault="00C027A8" w:rsidP="009A411D">
            <w:pPr>
              <w:jc w:val="both"/>
              <w:rPr>
                <w:rFonts w:asciiTheme="minorHAnsi" w:hAnsiTheme="minorHAnsi" w:cs="Arial"/>
              </w:rPr>
            </w:pPr>
            <w:r w:rsidRPr="00200610">
              <w:rPr>
                <w:rFonts w:asciiTheme="minorHAnsi" w:hAnsiTheme="minorHAnsi" w:cs="Arial"/>
                <w:b/>
                <w:smallCaps/>
              </w:rPr>
              <w:t xml:space="preserve">Análisis </w:t>
            </w:r>
            <w:r>
              <w:rPr>
                <w:rFonts w:asciiTheme="minorHAnsi" w:hAnsiTheme="minorHAnsi" w:cs="Arial"/>
                <w:b/>
                <w:smallCaps/>
              </w:rPr>
              <w:t xml:space="preserve">de la Gerencia </w:t>
            </w:r>
            <w:r w:rsidRPr="00200610">
              <w:rPr>
                <w:rFonts w:asciiTheme="minorHAnsi" w:hAnsiTheme="minorHAnsi" w:cs="Arial"/>
                <w:smallCaps/>
              </w:rPr>
              <w:t>(</w:t>
            </w:r>
            <w:r w:rsidRPr="00200610">
              <w:rPr>
                <w:rFonts w:asciiTheme="minorHAnsi" w:hAnsiTheme="minorHAnsi" w:cs="Arial"/>
              </w:rPr>
              <w:t xml:space="preserve">Máximo </w:t>
            </w:r>
            <w:r>
              <w:rPr>
                <w:rFonts w:asciiTheme="minorHAnsi" w:hAnsiTheme="minorHAnsi" w:cs="Arial"/>
              </w:rPr>
              <w:t>100</w:t>
            </w:r>
            <w:r w:rsidRPr="00200610">
              <w:rPr>
                <w:rFonts w:asciiTheme="minorHAnsi" w:hAnsiTheme="minorHAnsi" w:cs="Arial"/>
              </w:rPr>
              <w:t xml:space="preserve"> palabras</w:t>
            </w:r>
            <w:r w:rsidRPr="00200610">
              <w:rPr>
                <w:rFonts w:asciiTheme="minorHAnsi" w:hAnsiTheme="minorHAnsi" w:cs="Arial"/>
                <w:smallCaps/>
              </w:rPr>
              <w:t>)</w:t>
            </w:r>
            <w:r>
              <w:rPr>
                <w:rFonts w:asciiTheme="minorHAnsi" w:hAnsiTheme="minorHAnsi" w:cs="Arial"/>
                <w:smallCaps/>
              </w:rPr>
              <w:t>: 5 puntos contenido</w:t>
            </w:r>
          </w:p>
        </w:tc>
      </w:tr>
      <w:tr w:rsidR="00C027A8" w:rsidRPr="00931ED6" w14:paraId="37FE2FBD" w14:textId="77777777" w:rsidTr="00C027A8">
        <w:trPr>
          <w:trHeight w:val="1513"/>
        </w:trPr>
        <w:tc>
          <w:tcPr>
            <w:tcW w:w="11341" w:type="dxa"/>
            <w:gridSpan w:val="6"/>
          </w:tcPr>
          <w:p w14:paraId="40D1C422" w14:textId="14489147" w:rsidR="00DC6480" w:rsidRPr="00EF7D84" w:rsidRDefault="00DC6480" w:rsidP="00DC6480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64" w:hanging="464"/>
              <w:jc w:val="both"/>
              <w:rPr>
                <w:rFonts w:asciiTheme="minorHAnsi" w:hAnsiTheme="minorHAnsi" w:cs="Arial"/>
                <w:color w:val="000000"/>
                <w:sz w:val="22"/>
              </w:rPr>
            </w:pPr>
            <w:r w:rsidRPr="00893B50">
              <w:rPr>
                <w:rFonts w:asciiTheme="minorHAnsi" w:hAnsiTheme="minorHAnsi" w:cs="Arial"/>
                <w:b/>
                <w:color w:val="000000"/>
                <w:sz w:val="22"/>
              </w:rPr>
              <w:t>Germán Efromovich: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r w:rsidRPr="00893B50">
              <w:rPr>
                <w:rFonts w:asciiTheme="minorHAnsi" w:hAnsiTheme="minorHAnsi" w:cs="Arial"/>
                <w:color w:val="000000"/>
                <w:sz w:val="22"/>
              </w:rPr>
              <w:t>Ingeniero Mecánico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de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BD2FCC">
              <w:rPr>
                <w:rFonts w:asciiTheme="minorHAnsi" w:hAnsiTheme="minorHAnsi"/>
                <w:sz w:val="22"/>
                <w:szCs w:val="18"/>
              </w:rPr>
              <w:t>la universidad brasilera FEI,</w:t>
            </w:r>
            <w:r w:rsidRPr="00BD2FCC">
              <w:rPr>
                <w:rFonts w:ascii="Verdana" w:hAnsi="Verdana"/>
                <w:sz w:val="22"/>
                <w:szCs w:val="18"/>
              </w:rPr>
              <w:t xml:space="preserve"> </w:t>
            </w:r>
            <w:r w:rsidRPr="000B67AE">
              <w:rPr>
                <w:rFonts w:asciiTheme="minorHAnsi" w:hAnsiTheme="minorHAnsi"/>
                <w:sz w:val="22"/>
                <w:szCs w:val="18"/>
              </w:rPr>
              <w:t xml:space="preserve">creador del Grupo </w:t>
            </w:r>
            <w:r w:rsidRPr="000B67AE">
              <w:rPr>
                <w:rFonts w:asciiTheme="minorHAnsi" w:hAnsiTheme="minorHAnsi"/>
                <w:i/>
                <w:sz w:val="22"/>
                <w:szCs w:val="18"/>
              </w:rPr>
              <w:t xml:space="preserve">Synergy </w:t>
            </w:r>
            <w:r w:rsidRPr="000B67AE">
              <w:rPr>
                <w:rFonts w:asciiTheme="minorHAnsi" w:hAnsiTheme="minorHAnsi"/>
                <w:sz w:val="22"/>
                <w:szCs w:val="18"/>
              </w:rPr>
              <w:t>en el 2003</w:t>
            </w:r>
            <w:r>
              <w:rPr>
                <w:rFonts w:asciiTheme="minorHAnsi" w:hAnsiTheme="minorHAnsi" w:cs="Arial"/>
                <w:sz w:val="28"/>
              </w:rPr>
              <w:t xml:space="preserve">, 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accionista mayoritario y  </w:t>
            </w:r>
            <w:r w:rsidRPr="00893B50">
              <w:rPr>
                <w:rFonts w:asciiTheme="minorHAnsi" w:hAnsiTheme="minorHAnsi" w:cs="Arial"/>
                <w:color w:val="000000"/>
                <w:sz w:val="22"/>
              </w:rPr>
              <w:t>Preside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nte de la Junta directiva de  Avianca Holdings S.A. Su estrategia de negocio, se caracteriza  por crear alianzas  de talla mundial, y   tener una participación líder en el mercado. </w:t>
            </w:r>
            <w:r w:rsidR="00B26AE3">
              <w:rPr>
                <w:rFonts w:asciiTheme="minorHAnsi" w:hAnsiTheme="minorHAnsi" w:cs="Arial"/>
                <w:color w:val="000000"/>
                <w:sz w:val="22"/>
              </w:rPr>
              <w:t>(49</w:t>
            </w:r>
            <w:r w:rsidRPr="00EF7D84">
              <w:rPr>
                <w:rFonts w:asciiTheme="minorHAnsi" w:hAnsiTheme="minorHAnsi" w:cs="Arial"/>
                <w:color w:val="000000"/>
                <w:sz w:val="22"/>
              </w:rPr>
              <w:t>)</w:t>
            </w:r>
          </w:p>
          <w:p w14:paraId="1CCE78D4" w14:textId="1D37AB83" w:rsidR="00C027A8" w:rsidRPr="00931ED6" w:rsidRDefault="00DC6480" w:rsidP="00DC6480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64" w:hanging="464"/>
              <w:jc w:val="both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r w:rsidRPr="00E56A34">
              <w:rPr>
                <w:rFonts w:asciiTheme="minorHAnsi" w:hAnsiTheme="minorHAnsi" w:cs="Arial"/>
                <w:b/>
                <w:color w:val="000000"/>
                <w:sz w:val="22"/>
              </w:rPr>
              <w:t>Hernán Rincón:</w:t>
            </w:r>
            <w:r>
              <w:rPr>
                <w:rFonts w:asciiTheme="minorHAnsi" w:hAnsiTheme="minorHAnsi" w:cs="Arial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Matemático, con </w:t>
            </w:r>
            <w:r w:rsidRPr="00893B50">
              <w:rPr>
                <w:rFonts w:asciiTheme="minorHAnsi" w:hAnsiTheme="minorHAnsi" w:cs="Arial"/>
                <w:color w:val="000000"/>
                <w:sz w:val="22"/>
              </w:rPr>
              <w:t>una maes</w:t>
            </w:r>
            <w:r>
              <w:rPr>
                <w:rFonts w:asciiTheme="minorHAnsi" w:hAnsiTheme="minorHAnsi" w:cs="Arial"/>
                <w:color w:val="000000"/>
                <w:sz w:val="22"/>
              </w:rPr>
              <w:t>tría en Ingeniera Industrial, y un</w:t>
            </w:r>
            <w:r w:rsidRPr="00893B50">
              <w:rPr>
                <w:rFonts w:asciiTheme="minorHAnsi" w:hAnsiTheme="minorHAnsi" w:cs="Arial"/>
                <w:color w:val="000000"/>
                <w:sz w:val="22"/>
              </w:rPr>
              <w:t xml:space="preserve"> MBA en Administració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n Pública en </w:t>
            </w:r>
            <w:r w:rsidRPr="000B67AE">
              <w:rPr>
                <w:rFonts w:asciiTheme="minorHAnsi" w:hAnsiTheme="minorHAnsi" w:cs="Arial"/>
                <w:i/>
                <w:color w:val="000000"/>
                <w:sz w:val="22"/>
              </w:rPr>
              <w:t>Harvard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. </w:t>
            </w:r>
            <w:r w:rsidRPr="00893B50">
              <w:rPr>
                <w:rFonts w:asciiTheme="minorHAnsi" w:hAnsiTheme="minorHAnsi" w:cs="Arial"/>
                <w:color w:val="000000"/>
                <w:sz w:val="22"/>
              </w:rPr>
              <w:t xml:space="preserve"> Desde 2016, se desempeña como  Presidente Ejecutivo de Avia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nca </w:t>
            </w:r>
            <w:r w:rsidRPr="00AD4107">
              <w:rPr>
                <w:rFonts w:asciiTheme="minorHAnsi" w:hAnsiTheme="minorHAnsi" w:cs="Arial"/>
                <w:i/>
                <w:color w:val="000000"/>
                <w:sz w:val="22"/>
              </w:rPr>
              <w:t>Holdings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 S.A. Asimismo, se desempeñó como </w:t>
            </w:r>
            <w:r w:rsidRPr="00893B50">
              <w:rPr>
                <w:rFonts w:asciiTheme="minorHAnsi" w:hAnsiTheme="minorHAnsi" w:cs="Arial"/>
                <w:color w:val="000000"/>
                <w:sz w:val="22"/>
              </w:rPr>
              <w:t xml:space="preserve"> direc</w:t>
            </w:r>
            <w:r>
              <w:rPr>
                <w:rFonts w:asciiTheme="minorHAnsi" w:hAnsiTheme="minorHAnsi" w:cs="Arial"/>
                <w:color w:val="000000"/>
                <w:sz w:val="22"/>
              </w:rPr>
              <w:t>tivo empresarial en</w:t>
            </w:r>
            <w:r w:rsidRPr="00893B50">
              <w:rPr>
                <w:rFonts w:asciiTheme="minorHAnsi" w:hAnsiTheme="minorHAnsi" w:cs="Arial"/>
                <w:color w:val="000000"/>
                <w:sz w:val="22"/>
              </w:rPr>
              <w:t xml:space="preserve"> Microso</w:t>
            </w:r>
            <w:r>
              <w:rPr>
                <w:rFonts w:asciiTheme="minorHAnsi" w:hAnsiTheme="minorHAnsi" w:cs="Arial"/>
                <w:color w:val="000000"/>
                <w:sz w:val="22"/>
              </w:rPr>
              <w:t>ft, y se ha distinguido  por su labor innovadora  y su experiencia en la tecnología</w:t>
            </w:r>
            <w:r>
              <w:rPr>
                <w:rFonts w:asciiTheme="minorHAnsi" w:hAnsiTheme="minorHAnsi" w:cs="Arial"/>
                <w:color w:val="000000"/>
                <w:sz w:val="22"/>
              </w:rPr>
              <w:t>.(50)</w:t>
            </w:r>
          </w:p>
        </w:tc>
      </w:tr>
    </w:tbl>
    <w:p w14:paraId="707AE931" w14:textId="77777777" w:rsidR="00742980" w:rsidRPr="00DC6480" w:rsidRDefault="00742980">
      <w:r w:rsidRPr="00DC6480">
        <w:br w:type="page"/>
      </w:r>
    </w:p>
    <w:tbl>
      <w:tblPr>
        <w:tblStyle w:val="Tablaconcuadrcula"/>
        <w:tblW w:w="11341" w:type="dxa"/>
        <w:tblInd w:w="-1423" w:type="dxa"/>
        <w:tblLook w:val="04A0" w:firstRow="1" w:lastRow="0" w:firstColumn="1" w:lastColumn="0" w:noHBand="0" w:noVBand="1"/>
      </w:tblPr>
      <w:tblGrid>
        <w:gridCol w:w="5670"/>
        <w:gridCol w:w="5671"/>
      </w:tblGrid>
      <w:tr w:rsidR="00844BF7" w:rsidRPr="00200610" w14:paraId="5CE9F6F7" w14:textId="77777777" w:rsidTr="00931ED6">
        <w:trPr>
          <w:trHeight w:val="274"/>
        </w:trPr>
        <w:tc>
          <w:tcPr>
            <w:tcW w:w="11341" w:type="dxa"/>
            <w:gridSpan w:val="2"/>
          </w:tcPr>
          <w:p w14:paraId="365102EC" w14:textId="6540C7E0" w:rsidR="00200610" w:rsidRPr="00200610" w:rsidRDefault="00200610" w:rsidP="00931ED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200610">
              <w:rPr>
                <w:rFonts w:asciiTheme="minorHAnsi" w:hAnsiTheme="minorHAnsi" w:cs="Arial"/>
                <w:b/>
                <w:smallCaps/>
              </w:rPr>
              <w:lastRenderedPageBreak/>
              <w:t xml:space="preserve">Análisis </w:t>
            </w:r>
            <w:r>
              <w:rPr>
                <w:rFonts w:asciiTheme="minorHAnsi" w:hAnsiTheme="minorHAnsi" w:cs="Arial"/>
                <w:b/>
                <w:smallCaps/>
              </w:rPr>
              <w:t xml:space="preserve">de la </w:t>
            </w:r>
            <w:r w:rsidR="00C50293">
              <w:rPr>
                <w:rFonts w:asciiTheme="minorHAnsi" w:hAnsiTheme="minorHAnsi" w:cs="Arial"/>
                <w:b/>
                <w:smallCaps/>
              </w:rPr>
              <w:t xml:space="preserve">situación financiera de la </w:t>
            </w:r>
            <w:r>
              <w:rPr>
                <w:rFonts w:asciiTheme="minorHAnsi" w:hAnsiTheme="minorHAnsi" w:cs="Arial"/>
                <w:b/>
                <w:smallCaps/>
              </w:rPr>
              <w:t xml:space="preserve">empresa </w:t>
            </w:r>
            <w:r w:rsidRPr="00200610">
              <w:rPr>
                <w:rFonts w:asciiTheme="minorHAnsi" w:hAnsiTheme="minorHAnsi" w:cs="Arial"/>
                <w:smallCaps/>
              </w:rPr>
              <w:t>(</w:t>
            </w:r>
            <w:r w:rsidRPr="00200610">
              <w:rPr>
                <w:rFonts w:asciiTheme="minorHAnsi" w:hAnsiTheme="minorHAnsi" w:cs="Arial"/>
              </w:rPr>
              <w:t xml:space="preserve">Máximo </w:t>
            </w:r>
            <w:r w:rsidR="00931ED6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0</w:t>
            </w:r>
            <w:r w:rsidRPr="00200610">
              <w:rPr>
                <w:rFonts w:asciiTheme="minorHAnsi" w:hAnsiTheme="minorHAnsi" w:cs="Arial"/>
              </w:rPr>
              <w:t>0 palabras</w:t>
            </w:r>
            <w:r w:rsidRPr="00200610">
              <w:rPr>
                <w:rFonts w:asciiTheme="minorHAnsi" w:hAnsiTheme="minorHAnsi" w:cs="Arial"/>
                <w:smallCaps/>
              </w:rPr>
              <w:t>)</w:t>
            </w:r>
            <w:r w:rsidR="008C7A5A">
              <w:rPr>
                <w:rFonts w:asciiTheme="minorHAnsi" w:hAnsiTheme="minorHAnsi" w:cs="Arial"/>
                <w:smallCaps/>
              </w:rPr>
              <w:t xml:space="preserve"> 30 puntos contenido</w:t>
            </w:r>
          </w:p>
        </w:tc>
      </w:tr>
      <w:tr w:rsidR="00844BF7" w:rsidRPr="00931ED6" w14:paraId="16281ABA" w14:textId="77777777" w:rsidTr="00931ED6">
        <w:trPr>
          <w:trHeight w:val="8070"/>
        </w:trPr>
        <w:tc>
          <w:tcPr>
            <w:tcW w:w="11341" w:type="dxa"/>
            <w:gridSpan w:val="2"/>
          </w:tcPr>
          <w:p w14:paraId="6E1808CC" w14:textId="77777777" w:rsidR="00F312B7" w:rsidRDefault="00F312B7" w:rsidP="00F312B7">
            <w:pPr>
              <w:pStyle w:val="NormalWeb"/>
              <w:shd w:val="clear" w:color="auto" w:fill="FFFFFF"/>
              <w:spacing w:line="240" w:lineRule="atLeast"/>
              <w:jc w:val="both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</w:rPr>
              <w:t xml:space="preserve">Para el 2017, el margen  EBITDA  presenta una mayor participación frente a las ventas netas, al pasar de 12,8% a 13,7%, porque, a pesar del crecimiento del costo de ventas de 6,2%, los gastos operacionales decrecieron en 8,0%, ocasionando que el </w:t>
            </w:r>
            <w:r w:rsidRPr="00AD4107">
              <w:rPr>
                <w:rFonts w:asciiTheme="minorHAnsi" w:hAnsiTheme="minorHAnsi" w:cs="Arial"/>
                <w:color w:val="000000"/>
                <w:sz w:val="22"/>
              </w:rPr>
              <w:t>EBITDA  crec</w:t>
            </w:r>
            <w:r>
              <w:rPr>
                <w:rFonts w:asciiTheme="minorHAnsi" w:hAnsiTheme="minorHAnsi" w:cs="Arial"/>
                <w:color w:val="000000"/>
                <w:sz w:val="22"/>
              </w:rPr>
              <w:t xml:space="preserve">iera en 11,8%,  mientras  que  las ventas crecieron en menor medida en </w:t>
            </w:r>
            <w:r w:rsidRPr="00AD4107">
              <w:rPr>
                <w:rFonts w:asciiTheme="minorHAnsi" w:hAnsiTheme="minorHAnsi" w:cs="Arial"/>
                <w:color w:val="000000"/>
                <w:sz w:val="22"/>
              </w:rPr>
              <w:t xml:space="preserve">  4,4%</w:t>
            </w:r>
            <w:r>
              <w:rPr>
                <w:rFonts w:asciiTheme="minorHAnsi" w:hAnsiTheme="minorHAnsi" w:cs="Arial"/>
                <w:color w:val="000000"/>
                <w:sz w:val="22"/>
              </w:rPr>
              <w:t>. Esto, junto el decrecimiento de los impuestos en 42,6%, generó  mayor crecimiento en la utilidad neta del ejercicio (UNE) de 80,6% respecto a las ventas, provocando que el ROS pasara de 1,1% a 1,8%.No obstante, desde 2014 se había presentado una tendencia decreciente de la UNE, especialmente en 2015, que presenta una pérdida de COP $386.648MM, debido al crecimiento de los gastos de intereses de 73,3% y al diferencial cambiario en 3935,1%.Por otra parte, en el 2017 los activos presentan un mayor crecimiento  de 7,4% frente a las ventas netas, debido al  crecimiento de los intangibles y las valorizaciones de 341,8%, causando que el ROA pasara de 0,7% a 1,2%.para  2017.</w:t>
            </w:r>
          </w:p>
          <w:p w14:paraId="2B165FF0" w14:textId="77777777" w:rsidR="00F312B7" w:rsidRDefault="00F312B7" w:rsidP="00F312B7">
            <w:pPr>
              <w:pStyle w:val="NormalWeb"/>
              <w:shd w:val="clear" w:color="auto" w:fill="FFFFFF"/>
              <w:spacing w:line="240" w:lineRule="atLeast"/>
              <w:jc w:val="both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</w:rPr>
              <w:t>Con respecto al  ciclo de conversión efectivo, este fue  negativo en la mayoría de los años de estudio, sin embargo, para el último año, es de 8 días, ya que, tanto los días de cartera, como de proveedores  disminuyeron en 2  y 20 días, respectivamente,  pero  los días  de inventarios aumentaron. Ahora bien, pese al decrecimiento de la deuda con los proveedores en 47,5%,  es el año donde se presenta mayor deuda financiera  de COP $11.196.305 MM y creció en 14,0%, ocasionando que el total pasivo creciera en 11,4%, y esto junto el decrecimiento del patrimonio en 6,2%, ocasionó, que el apalancamiento total pasara de 3,47x a 4,12x en 2017. Cabe resaltar, que  la compañía ha disminuido la capacidad de cubrir el servicio de la deuda, como se evidencia, en el 2017, al pasar de 0,97x a 0,83x.</w:t>
            </w:r>
          </w:p>
          <w:p w14:paraId="11055F5D" w14:textId="7BBB7CD4" w:rsidR="00B26AE3" w:rsidRDefault="00F312B7" w:rsidP="00931ED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</w:rPr>
              <w:t xml:space="preserve">Se aprecia que, a excepción de la  reinversión que se presenta en 2013 y 2015 de COP $131.138 MM y COP $395.049 MM, respectivamente, se observó una tendencia de aumento de la inversión en capital de trabajo, especialmente en el 2017 que fue de COP $445.244 MM. Igualmente se presenta un decrecimiento del CAPEX de 0,6% para el 2017, ocasionando un flujo de caja libre  positivo de COP $359.905 MM, sin embargo el crecimiento de los gastos de intereses y la PCDFLP en 3,3% y 43,1%, respectivamente, provocó que  el FCDA fuera de –COP $1.787.095 MM, pero, creció  el pago de dividendos en 375,9%, en mayor medida que la UNE,  generando que el factor de distribución de dividendos pasara de -25,0% a 342,7%. Estos factores, dieron como resultado un FCDR negativo para el 2017, de  COP $2.247.501 MM, asimismo, la compañía presenta FCDR negativos en todos los años de estudio y </w:t>
            </w:r>
            <w:r w:rsidRPr="00AD4107">
              <w:rPr>
                <w:rFonts w:asciiTheme="minorHAnsi" w:hAnsiTheme="minorHAnsi" w:cs="Arial"/>
                <w:color w:val="000000"/>
                <w:sz w:val="22"/>
              </w:rPr>
              <w:t>el porcentaje del EBITDA destinado para reinversión  sigue decreciendo</w:t>
            </w:r>
            <w:r>
              <w:rPr>
                <w:rFonts w:asciiTheme="minorHAnsi" w:hAnsiTheme="minorHAnsi" w:cs="Arial"/>
                <w:color w:val="000000"/>
                <w:sz w:val="22"/>
              </w:rPr>
              <w:t>, especialmente en  el último año fue de 125,2%. Finalmente, el aumento del ROS y el ROA, junto con el incremento  del apalancamiento total, ocasionó que el  ROE pasara de 3,2% a 6,1% para el último</w:t>
            </w:r>
            <w:r w:rsidR="00A10A61">
              <w:rPr>
                <w:rFonts w:asciiTheme="minorHAnsi" w:hAnsiTheme="minorHAnsi" w:cs="Arial"/>
                <w:color w:val="000000"/>
                <w:sz w:val="22"/>
              </w:rPr>
              <w:t xml:space="preserve"> año. </w:t>
            </w:r>
            <w:r>
              <w:rPr>
                <w:rFonts w:asciiTheme="minorHAnsi" w:hAnsiTheme="minorHAnsi" w:cs="Arial"/>
                <w:color w:val="000000"/>
                <w:sz w:val="22"/>
              </w:rPr>
              <w:t>(500)</w:t>
            </w:r>
          </w:p>
          <w:p w14:paraId="62B0D2B7" w14:textId="3490A081" w:rsidR="004A57B8" w:rsidRPr="00B26AE3" w:rsidRDefault="00B26AE3" w:rsidP="00B26AE3">
            <w:pPr>
              <w:tabs>
                <w:tab w:val="left" w:pos="7532"/>
              </w:tabs>
              <w:rPr>
                <w:lang w:eastAsia="es-CO"/>
              </w:rPr>
            </w:pPr>
            <w:r>
              <w:rPr>
                <w:lang w:eastAsia="es-CO"/>
              </w:rPr>
              <w:tab/>
            </w:r>
          </w:p>
        </w:tc>
      </w:tr>
      <w:tr w:rsidR="00844BF7" w:rsidRPr="00200610" w14:paraId="542B13AF" w14:textId="77777777" w:rsidTr="00931ED6">
        <w:trPr>
          <w:trHeight w:val="349"/>
        </w:trPr>
        <w:tc>
          <w:tcPr>
            <w:tcW w:w="5670" w:type="dxa"/>
            <w:vAlign w:val="center"/>
          </w:tcPr>
          <w:p w14:paraId="1B95FDEE" w14:textId="77777777" w:rsidR="00931ED6" w:rsidRPr="00931ED6" w:rsidRDefault="00931ED6" w:rsidP="00931ED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mallCaps/>
                <w:color w:val="000000"/>
                <w:lang w:val="en-US"/>
              </w:rPr>
            </w:pPr>
            <w:r w:rsidRPr="00931ED6">
              <w:rPr>
                <w:rFonts w:asciiTheme="minorHAnsi" w:hAnsiTheme="minorHAnsi" w:cs="Arial"/>
                <w:b/>
                <w:smallCaps/>
                <w:color w:val="000000"/>
                <w:lang w:val="en-US"/>
              </w:rPr>
              <w:t>Gráfica</w:t>
            </w:r>
            <w:bookmarkStart w:id="0" w:name="_GoBack"/>
            <w:bookmarkEnd w:id="0"/>
            <w:r w:rsidRPr="00931ED6">
              <w:rPr>
                <w:rFonts w:asciiTheme="minorHAnsi" w:hAnsiTheme="minorHAnsi" w:cs="Arial"/>
                <w:b/>
                <w:smallCaps/>
                <w:color w:val="000000"/>
                <w:lang w:val="en-US"/>
              </w:rPr>
              <w:t xml:space="preserve"> 1</w:t>
            </w:r>
          </w:p>
        </w:tc>
        <w:tc>
          <w:tcPr>
            <w:tcW w:w="5671" w:type="dxa"/>
            <w:vAlign w:val="center"/>
          </w:tcPr>
          <w:p w14:paraId="643B5B51" w14:textId="77777777" w:rsidR="00931ED6" w:rsidRPr="00931ED6" w:rsidRDefault="00931ED6" w:rsidP="00931ED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mallCaps/>
                <w:color w:val="000000"/>
                <w:lang w:val="en-US"/>
              </w:rPr>
            </w:pPr>
            <w:r w:rsidRPr="00931ED6">
              <w:rPr>
                <w:rFonts w:asciiTheme="minorHAnsi" w:hAnsiTheme="minorHAnsi" w:cs="Arial"/>
                <w:b/>
                <w:smallCaps/>
                <w:color w:val="000000"/>
                <w:lang w:val="en-US"/>
              </w:rPr>
              <w:t>Gráfica 2</w:t>
            </w:r>
          </w:p>
        </w:tc>
      </w:tr>
      <w:tr w:rsidR="00844BF7" w:rsidRPr="00742980" w14:paraId="17510A60" w14:textId="77777777" w:rsidTr="00931ED6">
        <w:trPr>
          <w:trHeight w:val="3455"/>
        </w:trPr>
        <w:tc>
          <w:tcPr>
            <w:tcW w:w="5670" w:type="dxa"/>
          </w:tcPr>
          <w:p w14:paraId="159058AB" w14:textId="7594D02B" w:rsidR="00844BF7" w:rsidRDefault="00844BF7" w:rsidP="00844B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1" wp14:anchorId="4EDD0937" wp14:editId="7356C64B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222885</wp:posOffset>
                  </wp:positionV>
                  <wp:extent cx="3126740" cy="1822450"/>
                  <wp:effectExtent l="0" t="0" r="0" b="6350"/>
                  <wp:wrapThrough wrapText="bothSides">
                    <wp:wrapPolygon edited="0">
                      <wp:start x="0" y="0"/>
                      <wp:lineTo x="0" y="21449"/>
                      <wp:lineTo x="21451" y="21449"/>
                      <wp:lineTo x="21451" y="0"/>
                      <wp:lineTo x="0" y="0"/>
                    </wp:wrapPolygon>
                  </wp:wrapThrough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ACTOR DE DISTRIBUCION la bien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7" t="1629" r="863" b="971"/>
                          <a:stretch/>
                        </pic:blipFill>
                        <pic:spPr bwMode="auto">
                          <a:xfrm>
                            <a:off x="0" y="0"/>
                            <a:ext cx="3126740" cy="182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289D01" w14:textId="18C6D11E" w:rsidR="00742980" w:rsidRPr="00742980" w:rsidRDefault="00742980" w:rsidP="00844B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844BF7">
              <w:rPr>
                <w:rFonts w:asciiTheme="minorHAnsi" w:hAnsiTheme="minorHAnsi" w:cs="Arial"/>
                <w:b/>
                <w:color w:val="000000"/>
                <w:sz w:val="22"/>
              </w:rPr>
              <w:t>Fuente</w:t>
            </w:r>
            <w:r w:rsidRPr="00844BF7">
              <w:rPr>
                <w:rFonts w:asciiTheme="minorHAnsi" w:hAnsiTheme="minorHAnsi" w:cs="Arial"/>
                <w:color w:val="000000"/>
                <w:sz w:val="22"/>
              </w:rPr>
              <w:t>:</w:t>
            </w:r>
            <w:r w:rsidR="00B14A3F" w:rsidRPr="00844BF7">
              <w:rPr>
                <w:rFonts w:asciiTheme="minorHAnsi" w:hAnsiTheme="minorHAnsi" w:cs="Arial"/>
                <w:color w:val="000000"/>
                <w:sz w:val="22"/>
              </w:rPr>
              <w:t xml:space="preserve"> Elaboración propia, cifras de Avian</w:t>
            </w:r>
            <w:r w:rsidR="00844BF7" w:rsidRPr="00844BF7">
              <w:rPr>
                <w:rFonts w:asciiTheme="minorHAnsi" w:hAnsiTheme="minorHAnsi" w:cs="Arial"/>
                <w:color w:val="000000"/>
                <w:sz w:val="22"/>
              </w:rPr>
              <w:t>ca Holdings S.A</w:t>
            </w:r>
          </w:p>
        </w:tc>
        <w:tc>
          <w:tcPr>
            <w:tcW w:w="5671" w:type="dxa"/>
          </w:tcPr>
          <w:p w14:paraId="09636D37" w14:textId="2546307B" w:rsidR="00844BF7" w:rsidRDefault="00844BF7" w:rsidP="00844B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noProof/>
                <w:color w:val="000000"/>
                <w:sz w:val="22"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lang w:val="en-US" w:eastAsia="en-US"/>
              </w:rPr>
              <w:drawing>
                <wp:anchor distT="0" distB="0" distL="114300" distR="114300" simplePos="0" relativeHeight="251670528" behindDoc="0" locked="0" layoutInCell="1" allowOverlap="1" wp14:anchorId="051A6ADD" wp14:editId="1EBC38F2">
                  <wp:simplePos x="0" y="0"/>
                  <wp:positionH relativeFrom="column">
                    <wp:posOffset>172134</wp:posOffset>
                  </wp:positionH>
                  <wp:positionV relativeFrom="paragraph">
                    <wp:posOffset>192259</wp:posOffset>
                  </wp:positionV>
                  <wp:extent cx="3067664" cy="1741538"/>
                  <wp:effectExtent l="0" t="0" r="0" b="0"/>
                  <wp:wrapThrough wrapText="bothSides">
                    <wp:wrapPolygon edited="0">
                      <wp:start x="0" y="0"/>
                      <wp:lineTo x="0" y="21269"/>
                      <wp:lineTo x="21466" y="21269"/>
                      <wp:lineTo x="21466" y="0"/>
                      <wp:lineTo x="0" y="0"/>
                    </wp:wrapPolygon>
                  </wp:wrapThrough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nalisis duponttttttttttttttttttttttttttttttt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664" cy="174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58CA2E" w14:textId="11B5E01D" w:rsidR="00742980" w:rsidRPr="00742980" w:rsidRDefault="00742980" w:rsidP="00844B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844BF7">
              <w:rPr>
                <w:rFonts w:asciiTheme="minorHAnsi" w:hAnsiTheme="minorHAnsi" w:cs="Arial"/>
                <w:b/>
                <w:color w:val="000000"/>
                <w:sz w:val="22"/>
              </w:rPr>
              <w:t>Fuente</w:t>
            </w:r>
            <w:r w:rsidRPr="00844BF7">
              <w:rPr>
                <w:rFonts w:asciiTheme="minorHAnsi" w:hAnsiTheme="minorHAnsi" w:cs="Arial"/>
                <w:color w:val="000000"/>
                <w:sz w:val="22"/>
              </w:rPr>
              <w:t xml:space="preserve">: </w:t>
            </w:r>
            <w:r w:rsidR="00844BF7" w:rsidRPr="00844BF7">
              <w:rPr>
                <w:rFonts w:asciiTheme="minorHAnsi" w:hAnsiTheme="minorHAnsi" w:cs="Arial"/>
                <w:color w:val="000000"/>
                <w:sz w:val="22"/>
              </w:rPr>
              <w:t>Elaboración propia, cifras de Avianca</w:t>
            </w:r>
            <w:r w:rsidR="00844BF7" w:rsidRPr="00844BF7">
              <w:rPr>
                <w:rFonts w:asciiTheme="minorHAnsi" w:hAnsiTheme="minorHAnsi" w:cs="Arial"/>
                <w:color w:val="000000"/>
                <w:sz w:val="22"/>
              </w:rPr>
              <w:t xml:space="preserve"> Holdings S.A</w:t>
            </w:r>
          </w:p>
        </w:tc>
      </w:tr>
    </w:tbl>
    <w:p w14:paraId="1B07B92D" w14:textId="77777777" w:rsidR="00A23C52" w:rsidRPr="00742980" w:rsidRDefault="00A23C52" w:rsidP="00931ED6">
      <w:pPr>
        <w:jc w:val="both"/>
        <w:rPr>
          <w:rFonts w:asciiTheme="minorHAnsi" w:hAnsiTheme="minorHAnsi" w:cs="Arial"/>
        </w:rPr>
      </w:pPr>
    </w:p>
    <w:sectPr w:rsidR="00A23C52" w:rsidRPr="00742980" w:rsidSect="00742980">
      <w:headerReference w:type="default" r:id="rId12"/>
      <w:footerReference w:type="even" r:id="rId13"/>
      <w:footerReference w:type="default" r:id="rId14"/>
      <w:pgSz w:w="12240" w:h="15840"/>
      <w:pgMar w:top="1418" w:right="1800" w:bottom="1440" w:left="1800" w:header="284" w:footer="1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3D052" w14:textId="77777777" w:rsidR="000B2FC5" w:rsidRDefault="000B2FC5">
      <w:r>
        <w:separator/>
      </w:r>
    </w:p>
  </w:endnote>
  <w:endnote w:type="continuationSeparator" w:id="0">
    <w:p w14:paraId="5FB89E0E" w14:textId="77777777" w:rsidR="000B2FC5" w:rsidRDefault="000B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AD7D" w14:textId="77777777" w:rsidR="00BC0873" w:rsidRDefault="00547511" w:rsidP="00416A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08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235D17" w14:textId="77777777" w:rsidR="00BC0873" w:rsidRDefault="00BC0873" w:rsidP="000619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63688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45411C75" w14:textId="25664B33" w:rsidR="00931ED6" w:rsidRPr="00931ED6" w:rsidRDefault="00931ED6">
        <w:pPr>
          <w:pStyle w:val="Piedepgina"/>
          <w:jc w:val="right"/>
          <w:rPr>
            <w:rFonts w:asciiTheme="minorHAnsi" w:hAnsiTheme="minorHAnsi"/>
            <w:sz w:val="20"/>
          </w:rPr>
        </w:pPr>
        <w:r w:rsidRPr="00931ED6">
          <w:rPr>
            <w:rFonts w:asciiTheme="minorHAnsi" w:hAnsiTheme="minorHAnsi"/>
            <w:sz w:val="20"/>
          </w:rPr>
          <w:fldChar w:fldCharType="begin"/>
        </w:r>
        <w:r w:rsidRPr="00931ED6">
          <w:rPr>
            <w:rFonts w:asciiTheme="minorHAnsi" w:hAnsiTheme="minorHAnsi"/>
            <w:sz w:val="20"/>
          </w:rPr>
          <w:instrText xml:space="preserve"> PAGE   \* MERGEFORMAT </w:instrText>
        </w:r>
        <w:r w:rsidRPr="00931ED6">
          <w:rPr>
            <w:rFonts w:asciiTheme="minorHAnsi" w:hAnsiTheme="minorHAnsi"/>
            <w:sz w:val="20"/>
          </w:rPr>
          <w:fldChar w:fldCharType="separate"/>
        </w:r>
        <w:r w:rsidR="00105CA3">
          <w:rPr>
            <w:rFonts w:asciiTheme="minorHAnsi" w:hAnsiTheme="minorHAnsi"/>
            <w:noProof/>
            <w:sz w:val="20"/>
          </w:rPr>
          <w:t>2</w:t>
        </w:r>
        <w:r w:rsidRPr="00931ED6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6DEDA0D9" w14:textId="77777777" w:rsidR="00F807EC" w:rsidRPr="00E747EE" w:rsidRDefault="00F807EC">
    <w:pPr>
      <w:pStyle w:val="Piedepgin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F265B" w14:textId="77777777" w:rsidR="000B2FC5" w:rsidRDefault="000B2FC5">
      <w:r>
        <w:separator/>
      </w:r>
    </w:p>
  </w:footnote>
  <w:footnote w:type="continuationSeparator" w:id="0">
    <w:p w14:paraId="787C369B" w14:textId="77777777" w:rsidR="000B2FC5" w:rsidRDefault="000B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638B" w14:textId="77777777" w:rsidR="00BC0873" w:rsidRPr="00A571BE" w:rsidRDefault="00BC0873" w:rsidP="00185980">
    <w:pPr>
      <w:ind w:left="-1418"/>
      <w:jc w:val="both"/>
      <w:rPr>
        <w:rFonts w:ascii="Arial" w:hAnsi="Arial" w:cs="Arial"/>
      </w:rPr>
    </w:pPr>
    <w:bookmarkStart w:id="1" w:name="OLE_LINK1"/>
    <w:r w:rsidRPr="00A571BE">
      <w:rPr>
        <w:rFonts w:ascii="Arial" w:hAnsi="Arial" w:cs="Arial"/>
      </w:rPr>
      <w:t>Universidad Externado de Colombia</w:t>
    </w:r>
  </w:p>
  <w:p w14:paraId="28FA83EB" w14:textId="77777777" w:rsidR="00BC0873" w:rsidRPr="00A571BE" w:rsidRDefault="00BC0873" w:rsidP="00185980">
    <w:pPr>
      <w:ind w:left="-1418"/>
      <w:jc w:val="both"/>
      <w:rPr>
        <w:rFonts w:ascii="Arial" w:hAnsi="Arial" w:cs="Arial"/>
      </w:rPr>
    </w:pPr>
    <w:r w:rsidRPr="00A571BE">
      <w:rPr>
        <w:rFonts w:ascii="Arial" w:hAnsi="Arial" w:cs="Arial"/>
      </w:rPr>
      <w:t>Facultad de Finanzas Gobierno y Relaciones Internacionales</w:t>
    </w:r>
    <w:bookmarkEnd w:id="1"/>
  </w:p>
  <w:p w14:paraId="2DA39F98" w14:textId="77777777" w:rsidR="00390CBB" w:rsidRDefault="005416AF" w:rsidP="00185980">
    <w:pPr>
      <w:ind w:left="-1418"/>
      <w:jc w:val="both"/>
      <w:rPr>
        <w:rFonts w:ascii="Arial" w:hAnsi="Arial" w:cs="Arial"/>
      </w:rPr>
    </w:pPr>
    <w:r>
      <w:rPr>
        <w:rFonts w:ascii="Arial" w:hAnsi="Arial" w:cs="Arial"/>
      </w:rPr>
      <w:t xml:space="preserve">Programa </w:t>
    </w:r>
    <w:r w:rsidR="00390CBB">
      <w:rPr>
        <w:rFonts w:ascii="Arial" w:hAnsi="Arial" w:cs="Arial"/>
      </w:rPr>
      <w:t>en Finanzas y Relaciones Internacionales</w:t>
    </w:r>
  </w:p>
  <w:p w14:paraId="792E6029" w14:textId="77777777" w:rsidR="00CA0C8D" w:rsidRPr="00A571BE" w:rsidRDefault="008E02EE" w:rsidP="00185980">
    <w:pPr>
      <w:ind w:left="-1418"/>
      <w:jc w:val="both"/>
      <w:rPr>
        <w:rFonts w:ascii="Arial" w:hAnsi="Arial" w:cs="Arial"/>
      </w:rPr>
    </w:pPr>
    <w:r>
      <w:rPr>
        <w:rFonts w:ascii="Arial" w:hAnsi="Arial" w:cs="Arial"/>
      </w:rPr>
      <w:t>Análisis Financiero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796"/>
    <w:multiLevelType w:val="hybridMultilevel"/>
    <w:tmpl w:val="247E648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162E"/>
    <w:multiLevelType w:val="hybridMultilevel"/>
    <w:tmpl w:val="A7F036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1D6F"/>
    <w:multiLevelType w:val="hybridMultilevel"/>
    <w:tmpl w:val="E29282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910EF"/>
    <w:multiLevelType w:val="hybridMultilevel"/>
    <w:tmpl w:val="4808BE42"/>
    <w:lvl w:ilvl="0" w:tplc="04E41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0F68014">
      <w:start w:val="1"/>
      <w:numFmt w:val="decimal"/>
      <w:lvlText w:val="%2."/>
      <w:lvlJc w:val="left"/>
      <w:pPr>
        <w:ind w:left="1440" w:hanging="360"/>
      </w:pPr>
      <w:rPr>
        <w:rFonts w:ascii="Century Gothic" w:eastAsia="Times New Roman" w:hAnsi="Century Gothic" w:cs="Arial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31B0"/>
    <w:multiLevelType w:val="hybridMultilevel"/>
    <w:tmpl w:val="94C61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01B5"/>
    <w:multiLevelType w:val="hybridMultilevel"/>
    <w:tmpl w:val="3FFAD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334B9"/>
    <w:multiLevelType w:val="hybridMultilevel"/>
    <w:tmpl w:val="BF6C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05299"/>
    <w:multiLevelType w:val="hybridMultilevel"/>
    <w:tmpl w:val="A6E664D4"/>
    <w:lvl w:ilvl="0" w:tplc="E6EEB9B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B1EA7"/>
    <w:multiLevelType w:val="hybridMultilevel"/>
    <w:tmpl w:val="417EF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86428"/>
    <w:multiLevelType w:val="hybridMultilevel"/>
    <w:tmpl w:val="E29282FE"/>
    <w:lvl w:ilvl="0" w:tplc="0C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>
    <w:nsid w:val="2892175F"/>
    <w:multiLevelType w:val="hybridMultilevel"/>
    <w:tmpl w:val="84E60B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C32BB"/>
    <w:multiLevelType w:val="hybridMultilevel"/>
    <w:tmpl w:val="1316BB1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892D87"/>
    <w:multiLevelType w:val="hybridMultilevel"/>
    <w:tmpl w:val="7D9C42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397C"/>
    <w:multiLevelType w:val="hybridMultilevel"/>
    <w:tmpl w:val="5ADC22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176F6"/>
    <w:multiLevelType w:val="hybridMultilevel"/>
    <w:tmpl w:val="D1FC26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A7830"/>
    <w:multiLevelType w:val="hybridMultilevel"/>
    <w:tmpl w:val="87509306"/>
    <w:lvl w:ilvl="0" w:tplc="24D424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509F5"/>
    <w:multiLevelType w:val="hybridMultilevel"/>
    <w:tmpl w:val="2F6A6BA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CD7C55"/>
    <w:multiLevelType w:val="hybridMultilevel"/>
    <w:tmpl w:val="9F80895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026985"/>
    <w:multiLevelType w:val="hybridMultilevel"/>
    <w:tmpl w:val="B9B4AD0E"/>
    <w:lvl w:ilvl="0" w:tplc="69963E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D047D3"/>
    <w:multiLevelType w:val="hybridMultilevel"/>
    <w:tmpl w:val="51082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C356B"/>
    <w:multiLevelType w:val="hybridMultilevel"/>
    <w:tmpl w:val="69DEF552"/>
    <w:lvl w:ilvl="0" w:tplc="A78659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0D3320A"/>
    <w:multiLevelType w:val="hybridMultilevel"/>
    <w:tmpl w:val="BC3CD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E1D50"/>
    <w:multiLevelType w:val="hybridMultilevel"/>
    <w:tmpl w:val="E29282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32CE"/>
    <w:multiLevelType w:val="hybridMultilevel"/>
    <w:tmpl w:val="A14A107E"/>
    <w:lvl w:ilvl="0" w:tplc="11761EB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D4455D"/>
    <w:multiLevelType w:val="hybridMultilevel"/>
    <w:tmpl w:val="E29282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F52EBC"/>
    <w:multiLevelType w:val="hybridMultilevel"/>
    <w:tmpl w:val="4B963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B682A"/>
    <w:multiLevelType w:val="multilevel"/>
    <w:tmpl w:val="C6BA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127D24"/>
    <w:multiLevelType w:val="hybridMultilevel"/>
    <w:tmpl w:val="4956C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E93F11"/>
    <w:multiLevelType w:val="hybridMultilevel"/>
    <w:tmpl w:val="5036A766"/>
    <w:lvl w:ilvl="0" w:tplc="2BB2B2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65454778"/>
    <w:multiLevelType w:val="hybridMultilevel"/>
    <w:tmpl w:val="378A1990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A396D68"/>
    <w:multiLevelType w:val="hybridMultilevel"/>
    <w:tmpl w:val="8936752A"/>
    <w:lvl w:ilvl="0" w:tplc="04E41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E53EE"/>
    <w:multiLevelType w:val="hybridMultilevel"/>
    <w:tmpl w:val="2B941D9A"/>
    <w:lvl w:ilvl="0" w:tplc="69963E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653C2D"/>
    <w:multiLevelType w:val="hybridMultilevel"/>
    <w:tmpl w:val="3A702DFA"/>
    <w:lvl w:ilvl="0" w:tplc="8ABA9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636034"/>
    <w:multiLevelType w:val="hybridMultilevel"/>
    <w:tmpl w:val="AA9CBBA2"/>
    <w:lvl w:ilvl="0" w:tplc="69963E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8C0A66"/>
    <w:multiLevelType w:val="hybridMultilevel"/>
    <w:tmpl w:val="3A702DFA"/>
    <w:lvl w:ilvl="0" w:tplc="8ABA9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F12589"/>
    <w:multiLevelType w:val="hybridMultilevel"/>
    <w:tmpl w:val="6BCAADB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1"/>
  </w:num>
  <w:num w:numId="4">
    <w:abstractNumId w:val="27"/>
  </w:num>
  <w:num w:numId="5">
    <w:abstractNumId w:val="18"/>
  </w:num>
  <w:num w:numId="6">
    <w:abstractNumId w:val="21"/>
  </w:num>
  <w:num w:numId="7">
    <w:abstractNumId w:val="26"/>
  </w:num>
  <w:num w:numId="8">
    <w:abstractNumId w:val="23"/>
  </w:num>
  <w:num w:numId="9">
    <w:abstractNumId w:val="4"/>
  </w:num>
  <w:num w:numId="10">
    <w:abstractNumId w:val="17"/>
  </w:num>
  <w:num w:numId="11">
    <w:abstractNumId w:val="34"/>
  </w:num>
  <w:num w:numId="12">
    <w:abstractNumId w:val="11"/>
  </w:num>
  <w:num w:numId="13">
    <w:abstractNumId w:val="32"/>
  </w:num>
  <w:num w:numId="14">
    <w:abstractNumId w:val="0"/>
  </w:num>
  <w:num w:numId="15">
    <w:abstractNumId w:val="13"/>
  </w:num>
  <w:num w:numId="16">
    <w:abstractNumId w:val="29"/>
  </w:num>
  <w:num w:numId="17">
    <w:abstractNumId w:val="20"/>
  </w:num>
  <w:num w:numId="18">
    <w:abstractNumId w:val="28"/>
  </w:num>
  <w:num w:numId="19">
    <w:abstractNumId w:val="24"/>
  </w:num>
  <w:num w:numId="20">
    <w:abstractNumId w:val="22"/>
  </w:num>
  <w:num w:numId="21">
    <w:abstractNumId w:val="9"/>
  </w:num>
  <w:num w:numId="22">
    <w:abstractNumId w:val="1"/>
  </w:num>
  <w:num w:numId="23">
    <w:abstractNumId w:val="12"/>
  </w:num>
  <w:num w:numId="24">
    <w:abstractNumId w:val="10"/>
  </w:num>
  <w:num w:numId="25">
    <w:abstractNumId w:val="30"/>
  </w:num>
  <w:num w:numId="26">
    <w:abstractNumId w:val="15"/>
  </w:num>
  <w:num w:numId="27">
    <w:abstractNumId w:val="35"/>
  </w:num>
  <w:num w:numId="28">
    <w:abstractNumId w:val="19"/>
  </w:num>
  <w:num w:numId="29">
    <w:abstractNumId w:val="8"/>
  </w:num>
  <w:num w:numId="30">
    <w:abstractNumId w:val="25"/>
  </w:num>
  <w:num w:numId="31">
    <w:abstractNumId w:val="3"/>
  </w:num>
  <w:num w:numId="32">
    <w:abstractNumId w:val="2"/>
  </w:num>
  <w:num w:numId="33">
    <w:abstractNumId w:val="16"/>
  </w:num>
  <w:num w:numId="34">
    <w:abstractNumId w:val="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F"/>
    <w:rsid w:val="00000916"/>
    <w:rsid w:val="00006A9F"/>
    <w:rsid w:val="000076A9"/>
    <w:rsid w:val="00010C4C"/>
    <w:rsid w:val="00012F5D"/>
    <w:rsid w:val="000203FD"/>
    <w:rsid w:val="000217EF"/>
    <w:rsid w:val="00021A5B"/>
    <w:rsid w:val="00022901"/>
    <w:rsid w:val="00022E06"/>
    <w:rsid w:val="0002374B"/>
    <w:rsid w:val="0002426F"/>
    <w:rsid w:val="0002504F"/>
    <w:rsid w:val="000514AA"/>
    <w:rsid w:val="000619C4"/>
    <w:rsid w:val="00083B40"/>
    <w:rsid w:val="000904CF"/>
    <w:rsid w:val="000924B0"/>
    <w:rsid w:val="000A120B"/>
    <w:rsid w:val="000A597D"/>
    <w:rsid w:val="000A798E"/>
    <w:rsid w:val="000B057D"/>
    <w:rsid w:val="000B2151"/>
    <w:rsid w:val="000B2FC5"/>
    <w:rsid w:val="000B39A5"/>
    <w:rsid w:val="000B5A85"/>
    <w:rsid w:val="000B7F29"/>
    <w:rsid w:val="000C62BF"/>
    <w:rsid w:val="000D47EC"/>
    <w:rsid w:val="000E553F"/>
    <w:rsid w:val="000E6143"/>
    <w:rsid w:val="000F01A8"/>
    <w:rsid w:val="000F3B7B"/>
    <w:rsid w:val="001010CB"/>
    <w:rsid w:val="00101796"/>
    <w:rsid w:val="00105CA3"/>
    <w:rsid w:val="001105DA"/>
    <w:rsid w:val="00110C1C"/>
    <w:rsid w:val="001143F7"/>
    <w:rsid w:val="00116CD1"/>
    <w:rsid w:val="00120184"/>
    <w:rsid w:val="001301E9"/>
    <w:rsid w:val="00134628"/>
    <w:rsid w:val="00140526"/>
    <w:rsid w:val="001407A1"/>
    <w:rsid w:val="00144E32"/>
    <w:rsid w:val="001468EA"/>
    <w:rsid w:val="00161306"/>
    <w:rsid w:val="00161A96"/>
    <w:rsid w:val="00170BFC"/>
    <w:rsid w:val="001727FD"/>
    <w:rsid w:val="001773ED"/>
    <w:rsid w:val="001779A0"/>
    <w:rsid w:val="00185980"/>
    <w:rsid w:val="00186C62"/>
    <w:rsid w:val="001A20A3"/>
    <w:rsid w:val="001A2457"/>
    <w:rsid w:val="001B6E94"/>
    <w:rsid w:val="001C3BCB"/>
    <w:rsid w:val="001D0646"/>
    <w:rsid w:val="001D11FA"/>
    <w:rsid w:val="001D1B44"/>
    <w:rsid w:val="001E12AA"/>
    <w:rsid w:val="001E1ABF"/>
    <w:rsid w:val="001E1DE6"/>
    <w:rsid w:val="001F1EEE"/>
    <w:rsid w:val="00200610"/>
    <w:rsid w:val="00204C7D"/>
    <w:rsid w:val="00221425"/>
    <w:rsid w:val="0022648E"/>
    <w:rsid w:val="00235AF3"/>
    <w:rsid w:val="00241522"/>
    <w:rsid w:val="00242F4D"/>
    <w:rsid w:val="00244AF9"/>
    <w:rsid w:val="002501E1"/>
    <w:rsid w:val="002506F4"/>
    <w:rsid w:val="00253273"/>
    <w:rsid w:val="00256AB1"/>
    <w:rsid w:val="002645E0"/>
    <w:rsid w:val="002675B3"/>
    <w:rsid w:val="00285F6F"/>
    <w:rsid w:val="00287DC8"/>
    <w:rsid w:val="0029209E"/>
    <w:rsid w:val="002A5E91"/>
    <w:rsid w:val="002B3268"/>
    <w:rsid w:val="002C50AA"/>
    <w:rsid w:val="002E0601"/>
    <w:rsid w:val="002E3DFD"/>
    <w:rsid w:val="002F0CF7"/>
    <w:rsid w:val="002F3BF7"/>
    <w:rsid w:val="00304B41"/>
    <w:rsid w:val="003106BC"/>
    <w:rsid w:val="00315470"/>
    <w:rsid w:val="0031656E"/>
    <w:rsid w:val="00320901"/>
    <w:rsid w:val="00321BCB"/>
    <w:rsid w:val="00324D68"/>
    <w:rsid w:val="00326533"/>
    <w:rsid w:val="00335C4B"/>
    <w:rsid w:val="003401EA"/>
    <w:rsid w:val="00346A3D"/>
    <w:rsid w:val="00350E22"/>
    <w:rsid w:val="00353B2C"/>
    <w:rsid w:val="003609BC"/>
    <w:rsid w:val="00371700"/>
    <w:rsid w:val="003729BD"/>
    <w:rsid w:val="00372C3E"/>
    <w:rsid w:val="00373AAC"/>
    <w:rsid w:val="00376721"/>
    <w:rsid w:val="00390CBB"/>
    <w:rsid w:val="003927CB"/>
    <w:rsid w:val="0039316A"/>
    <w:rsid w:val="003A40D3"/>
    <w:rsid w:val="003A5CA9"/>
    <w:rsid w:val="003A7D99"/>
    <w:rsid w:val="003B1BC6"/>
    <w:rsid w:val="003B7427"/>
    <w:rsid w:val="003B7862"/>
    <w:rsid w:val="003C37C7"/>
    <w:rsid w:val="003C405D"/>
    <w:rsid w:val="003D3D98"/>
    <w:rsid w:val="003E4268"/>
    <w:rsid w:val="003F2F05"/>
    <w:rsid w:val="003F378E"/>
    <w:rsid w:val="003F4235"/>
    <w:rsid w:val="00402BF4"/>
    <w:rsid w:val="0040600C"/>
    <w:rsid w:val="00416ABC"/>
    <w:rsid w:val="00427911"/>
    <w:rsid w:val="00430947"/>
    <w:rsid w:val="00430CA9"/>
    <w:rsid w:val="00432D71"/>
    <w:rsid w:val="004377B9"/>
    <w:rsid w:val="00437F51"/>
    <w:rsid w:val="00442DE8"/>
    <w:rsid w:val="0044417C"/>
    <w:rsid w:val="00445D9B"/>
    <w:rsid w:val="00446570"/>
    <w:rsid w:val="00450303"/>
    <w:rsid w:val="0045592C"/>
    <w:rsid w:val="004562B6"/>
    <w:rsid w:val="0047749C"/>
    <w:rsid w:val="00492E5E"/>
    <w:rsid w:val="00493DC4"/>
    <w:rsid w:val="0049518D"/>
    <w:rsid w:val="004A5711"/>
    <w:rsid w:val="004A57B8"/>
    <w:rsid w:val="004A6ED6"/>
    <w:rsid w:val="004B0870"/>
    <w:rsid w:val="004B286A"/>
    <w:rsid w:val="004B72BC"/>
    <w:rsid w:val="004C0A26"/>
    <w:rsid w:val="004C2A7F"/>
    <w:rsid w:val="004C76A2"/>
    <w:rsid w:val="004D0EBD"/>
    <w:rsid w:val="004D2152"/>
    <w:rsid w:val="004D3AB7"/>
    <w:rsid w:val="004E52AD"/>
    <w:rsid w:val="004F3405"/>
    <w:rsid w:val="00505B72"/>
    <w:rsid w:val="00512FA7"/>
    <w:rsid w:val="005151BD"/>
    <w:rsid w:val="00525840"/>
    <w:rsid w:val="005301FC"/>
    <w:rsid w:val="00535EFA"/>
    <w:rsid w:val="00537EF4"/>
    <w:rsid w:val="005416AF"/>
    <w:rsid w:val="00547511"/>
    <w:rsid w:val="005525F2"/>
    <w:rsid w:val="005570B1"/>
    <w:rsid w:val="005644A4"/>
    <w:rsid w:val="005667F0"/>
    <w:rsid w:val="00571FB0"/>
    <w:rsid w:val="00577E1E"/>
    <w:rsid w:val="00585B28"/>
    <w:rsid w:val="0059218E"/>
    <w:rsid w:val="00592A58"/>
    <w:rsid w:val="005A2598"/>
    <w:rsid w:val="005C686F"/>
    <w:rsid w:val="005D0EEB"/>
    <w:rsid w:val="005E2D96"/>
    <w:rsid w:val="005E3DDE"/>
    <w:rsid w:val="005F0AB0"/>
    <w:rsid w:val="00600146"/>
    <w:rsid w:val="00605CDF"/>
    <w:rsid w:val="00610A2A"/>
    <w:rsid w:val="00614BBB"/>
    <w:rsid w:val="0061630B"/>
    <w:rsid w:val="00622CEF"/>
    <w:rsid w:val="006230E0"/>
    <w:rsid w:val="00630FFE"/>
    <w:rsid w:val="00634BB9"/>
    <w:rsid w:val="0066056A"/>
    <w:rsid w:val="006632A2"/>
    <w:rsid w:val="00666C20"/>
    <w:rsid w:val="006717DE"/>
    <w:rsid w:val="00674710"/>
    <w:rsid w:val="00681611"/>
    <w:rsid w:val="0068651C"/>
    <w:rsid w:val="006931E1"/>
    <w:rsid w:val="0069449D"/>
    <w:rsid w:val="006A69AA"/>
    <w:rsid w:val="006A6BC8"/>
    <w:rsid w:val="006B32CB"/>
    <w:rsid w:val="006B4ECD"/>
    <w:rsid w:val="006B7BB1"/>
    <w:rsid w:val="006E1C19"/>
    <w:rsid w:val="006F0E08"/>
    <w:rsid w:val="006F4BD9"/>
    <w:rsid w:val="006F53CF"/>
    <w:rsid w:val="007126DF"/>
    <w:rsid w:val="00716E91"/>
    <w:rsid w:val="007175DC"/>
    <w:rsid w:val="007208BF"/>
    <w:rsid w:val="00720AC8"/>
    <w:rsid w:val="00726BEE"/>
    <w:rsid w:val="00731E01"/>
    <w:rsid w:val="00732C8E"/>
    <w:rsid w:val="00735492"/>
    <w:rsid w:val="00742980"/>
    <w:rsid w:val="00742F0E"/>
    <w:rsid w:val="00744700"/>
    <w:rsid w:val="00747FB1"/>
    <w:rsid w:val="00757952"/>
    <w:rsid w:val="00760D0D"/>
    <w:rsid w:val="007617C3"/>
    <w:rsid w:val="00764728"/>
    <w:rsid w:val="00770776"/>
    <w:rsid w:val="00772403"/>
    <w:rsid w:val="007762FA"/>
    <w:rsid w:val="007777D9"/>
    <w:rsid w:val="0078411F"/>
    <w:rsid w:val="0079554E"/>
    <w:rsid w:val="007A4856"/>
    <w:rsid w:val="007A5362"/>
    <w:rsid w:val="007B34CE"/>
    <w:rsid w:val="007B3F73"/>
    <w:rsid w:val="007B753A"/>
    <w:rsid w:val="007B7D6F"/>
    <w:rsid w:val="007C4A08"/>
    <w:rsid w:val="007C78AF"/>
    <w:rsid w:val="007E1581"/>
    <w:rsid w:val="007F6CAE"/>
    <w:rsid w:val="008038C7"/>
    <w:rsid w:val="0080573A"/>
    <w:rsid w:val="008110F1"/>
    <w:rsid w:val="00811CA1"/>
    <w:rsid w:val="00843F7F"/>
    <w:rsid w:val="00844BF7"/>
    <w:rsid w:val="00850888"/>
    <w:rsid w:val="00852DF1"/>
    <w:rsid w:val="00861658"/>
    <w:rsid w:val="00861BA0"/>
    <w:rsid w:val="0086222D"/>
    <w:rsid w:val="0087466C"/>
    <w:rsid w:val="00875084"/>
    <w:rsid w:val="00884981"/>
    <w:rsid w:val="00884C28"/>
    <w:rsid w:val="008966E2"/>
    <w:rsid w:val="008A10DC"/>
    <w:rsid w:val="008A33F4"/>
    <w:rsid w:val="008A54D8"/>
    <w:rsid w:val="008A6436"/>
    <w:rsid w:val="008B1177"/>
    <w:rsid w:val="008C3852"/>
    <w:rsid w:val="008C7A5A"/>
    <w:rsid w:val="008D29E6"/>
    <w:rsid w:val="008E02EE"/>
    <w:rsid w:val="008E1462"/>
    <w:rsid w:val="008E14B4"/>
    <w:rsid w:val="008E4659"/>
    <w:rsid w:val="008F0049"/>
    <w:rsid w:val="008F3A15"/>
    <w:rsid w:val="008F662B"/>
    <w:rsid w:val="0090321D"/>
    <w:rsid w:val="009034C8"/>
    <w:rsid w:val="0092025E"/>
    <w:rsid w:val="00920B7E"/>
    <w:rsid w:val="00925D19"/>
    <w:rsid w:val="00925FDC"/>
    <w:rsid w:val="00931ED6"/>
    <w:rsid w:val="00941F45"/>
    <w:rsid w:val="009442A4"/>
    <w:rsid w:val="009508C2"/>
    <w:rsid w:val="00951814"/>
    <w:rsid w:val="0096077E"/>
    <w:rsid w:val="00962C6B"/>
    <w:rsid w:val="00963FCF"/>
    <w:rsid w:val="009711BA"/>
    <w:rsid w:val="009838A9"/>
    <w:rsid w:val="0099011A"/>
    <w:rsid w:val="00991DF8"/>
    <w:rsid w:val="0099361C"/>
    <w:rsid w:val="00993923"/>
    <w:rsid w:val="00993B54"/>
    <w:rsid w:val="009B13A9"/>
    <w:rsid w:val="009B20B9"/>
    <w:rsid w:val="009C1107"/>
    <w:rsid w:val="009C1EDF"/>
    <w:rsid w:val="009D0402"/>
    <w:rsid w:val="009F3D9B"/>
    <w:rsid w:val="009F4CC7"/>
    <w:rsid w:val="00A0382E"/>
    <w:rsid w:val="00A055BA"/>
    <w:rsid w:val="00A0662D"/>
    <w:rsid w:val="00A10A61"/>
    <w:rsid w:val="00A22638"/>
    <w:rsid w:val="00A22A52"/>
    <w:rsid w:val="00A22F01"/>
    <w:rsid w:val="00A23C52"/>
    <w:rsid w:val="00A2456A"/>
    <w:rsid w:val="00A266F9"/>
    <w:rsid w:val="00A26DBF"/>
    <w:rsid w:val="00A322CF"/>
    <w:rsid w:val="00A35330"/>
    <w:rsid w:val="00A35B63"/>
    <w:rsid w:val="00A36DF4"/>
    <w:rsid w:val="00A40FBA"/>
    <w:rsid w:val="00A47747"/>
    <w:rsid w:val="00A561BE"/>
    <w:rsid w:val="00A571BE"/>
    <w:rsid w:val="00A66170"/>
    <w:rsid w:val="00A66D52"/>
    <w:rsid w:val="00A70B15"/>
    <w:rsid w:val="00A72CF6"/>
    <w:rsid w:val="00A81A53"/>
    <w:rsid w:val="00A84FB1"/>
    <w:rsid w:val="00A878FB"/>
    <w:rsid w:val="00A90EC7"/>
    <w:rsid w:val="00A969DC"/>
    <w:rsid w:val="00AA1900"/>
    <w:rsid w:val="00AA23D2"/>
    <w:rsid w:val="00AA4D02"/>
    <w:rsid w:val="00AB1011"/>
    <w:rsid w:val="00AC0EFA"/>
    <w:rsid w:val="00AC5530"/>
    <w:rsid w:val="00AC7C58"/>
    <w:rsid w:val="00AD2A38"/>
    <w:rsid w:val="00AD416A"/>
    <w:rsid w:val="00AD4AD2"/>
    <w:rsid w:val="00AD5D4F"/>
    <w:rsid w:val="00AE5235"/>
    <w:rsid w:val="00AF203B"/>
    <w:rsid w:val="00AF5B39"/>
    <w:rsid w:val="00AF6A9B"/>
    <w:rsid w:val="00B11283"/>
    <w:rsid w:val="00B11A3D"/>
    <w:rsid w:val="00B1221C"/>
    <w:rsid w:val="00B123A9"/>
    <w:rsid w:val="00B14A3F"/>
    <w:rsid w:val="00B16D19"/>
    <w:rsid w:val="00B23C7E"/>
    <w:rsid w:val="00B2415D"/>
    <w:rsid w:val="00B25B0B"/>
    <w:rsid w:val="00B26751"/>
    <w:rsid w:val="00B26AE3"/>
    <w:rsid w:val="00B358A1"/>
    <w:rsid w:val="00B35941"/>
    <w:rsid w:val="00B402A8"/>
    <w:rsid w:val="00B41A94"/>
    <w:rsid w:val="00B45E82"/>
    <w:rsid w:val="00B46042"/>
    <w:rsid w:val="00B538B1"/>
    <w:rsid w:val="00B54FB5"/>
    <w:rsid w:val="00B56095"/>
    <w:rsid w:val="00B5715E"/>
    <w:rsid w:val="00B60E84"/>
    <w:rsid w:val="00B7072C"/>
    <w:rsid w:val="00B8536E"/>
    <w:rsid w:val="00B96B43"/>
    <w:rsid w:val="00BA267A"/>
    <w:rsid w:val="00BA6A18"/>
    <w:rsid w:val="00BC0873"/>
    <w:rsid w:val="00BC51FD"/>
    <w:rsid w:val="00BC74D7"/>
    <w:rsid w:val="00BD1034"/>
    <w:rsid w:val="00BD304F"/>
    <w:rsid w:val="00BE400E"/>
    <w:rsid w:val="00BF466D"/>
    <w:rsid w:val="00C027A8"/>
    <w:rsid w:val="00C04837"/>
    <w:rsid w:val="00C060A8"/>
    <w:rsid w:val="00C11FB7"/>
    <w:rsid w:val="00C11FFC"/>
    <w:rsid w:val="00C145C8"/>
    <w:rsid w:val="00C25CCF"/>
    <w:rsid w:val="00C40FE7"/>
    <w:rsid w:val="00C43D38"/>
    <w:rsid w:val="00C4444F"/>
    <w:rsid w:val="00C466BB"/>
    <w:rsid w:val="00C46834"/>
    <w:rsid w:val="00C50293"/>
    <w:rsid w:val="00C51B27"/>
    <w:rsid w:val="00C7122E"/>
    <w:rsid w:val="00C74544"/>
    <w:rsid w:val="00C76020"/>
    <w:rsid w:val="00C80EFF"/>
    <w:rsid w:val="00C8118C"/>
    <w:rsid w:val="00C824CF"/>
    <w:rsid w:val="00C83986"/>
    <w:rsid w:val="00C84721"/>
    <w:rsid w:val="00C87371"/>
    <w:rsid w:val="00C9002E"/>
    <w:rsid w:val="00C979D3"/>
    <w:rsid w:val="00CA0C8D"/>
    <w:rsid w:val="00CA39E6"/>
    <w:rsid w:val="00CA4B95"/>
    <w:rsid w:val="00CA5763"/>
    <w:rsid w:val="00CA66A1"/>
    <w:rsid w:val="00CA69FF"/>
    <w:rsid w:val="00CC2890"/>
    <w:rsid w:val="00CC2E12"/>
    <w:rsid w:val="00CC3B94"/>
    <w:rsid w:val="00CC3CC1"/>
    <w:rsid w:val="00CC45D1"/>
    <w:rsid w:val="00CD15CD"/>
    <w:rsid w:val="00CD5DAD"/>
    <w:rsid w:val="00CE29FD"/>
    <w:rsid w:val="00CE309A"/>
    <w:rsid w:val="00CE4439"/>
    <w:rsid w:val="00CF37D0"/>
    <w:rsid w:val="00CF4862"/>
    <w:rsid w:val="00CF5ED1"/>
    <w:rsid w:val="00CF6CD7"/>
    <w:rsid w:val="00CF7710"/>
    <w:rsid w:val="00D04BFF"/>
    <w:rsid w:val="00D1104D"/>
    <w:rsid w:val="00D215D6"/>
    <w:rsid w:val="00D223DC"/>
    <w:rsid w:val="00D27417"/>
    <w:rsid w:val="00D27C2D"/>
    <w:rsid w:val="00D30F40"/>
    <w:rsid w:val="00D31256"/>
    <w:rsid w:val="00D4114F"/>
    <w:rsid w:val="00D461D9"/>
    <w:rsid w:val="00D46E37"/>
    <w:rsid w:val="00D47CE2"/>
    <w:rsid w:val="00D61747"/>
    <w:rsid w:val="00D64D2A"/>
    <w:rsid w:val="00D73987"/>
    <w:rsid w:val="00D84A27"/>
    <w:rsid w:val="00DA6527"/>
    <w:rsid w:val="00DB3575"/>
    <w:rsid w:val="00DB41CD"/>
    <w:rsid w:val="00DB6797"/>
    <w:rsid w:val="00DB698E"/>
    <w:rsid w:val="00DB7A59"/>
    <w:rsid w:val="00DC6042"/>
    <w:rsid w:val="00DC6480"/>
    <w:rsid w:val="00DC66CD"/>
    <w:rsid w:val="00DC7FA7"/>
    <w:rsid w:val="00DD2285"/>
    <w:rsid w:val="00DD44A1"/>
    <w:rsid w:val="00DE1BED"/>
    <w:rsid w:val="00DE3F08"/>
    <w:rsid w:val="00DE65AE"/>
    <w:rsid w:val="00DF24EC"/>
    <w:rsid w:val="00E013F8"/>
    <w:rsid w:val="00E029C2"/>
    <w:rsid w:val="00E03268"/>
    <w:rsid w:val="00E1178C"/>
    <w:rsid w:val="00E12B7F"/>
    <w:rsid w:val="00E14AA3"/>
    <w:rsid w:val="00E2020E"/>
    <w:rsid w:val="00E220A4"/>
    <w:rsid w:val="00E233CB"/>
    <w:rsid w:val="00E23B89"/>
    <w:rsid w:val="00E242B0"/>
    <w:rsid w:val="00E27FD0"/>
    <w:rsid w:val="00E32655"/>
    <w:rsid w:val="00E40A9D"/>
    <w:rsid w:val="00E41B5F"/>
    <w:rsid w:val="00E4475F"/>
    <w:rsid w:val="00E44AA3"/>
    <w:rsid w:val="00E5001F"/>
    <w:rsid w:val="00E52A47"/>
    <w:rsid w:val="00E536B2"/>
    <w:rsid w:val="00E57B66"/>
    <w:rsid w:val="00E66306"/>
    <w:rsid w:val="00E70DF1"/>
    <w:rsid w:val="00E7106A"/>
    <w:rsid w:val="00E747EE"/>
    <w:rsid w:val="00E7544E"/>
    <w:rsid w:val="00E75763"/>
    <w:rsid w:val="00E76CE7"/>
    <w:rsid w:val="00E8032B"/>
    <w:rsid w:val="00E8600B"/>
    <w:rsid w:val="00E97F94"/>
    <w:rsid w:val="00EA5DA1"/>
    <w:rsid w:val="00EA7D90"/>
    <w:rsid w:val="00EB284B"/>
    <w:rsid w:val="00EB4A03"/>
    <w:rsid w:val="00ED3538"/>
    <w:rsid w:val="00EE49C3"/>
    <w:rsid w:val="00EE67F2"/>
    <w:rsid w:val="00EF0F36"/>
    <w:rsid w:val="00EF124B"/>
    <w:rsid w:val="00EF2AE5"/>
    <w:rsid w:val="00EF35E2"/>
    <w:rsid w:val="00F009BC"/>
    <w:rsid w:val="00F1460C"/>
    <w:rsid w:val="00F22419"/>
    <w:rsid w:val="00F2496B"/>
    <w:rsid w:val="00F25786"/>
    <w:rsid w:val="00F312B7"/>
    <w:rsid w:val="00F35F7B"/>
    <w:rsid w:val="00F40844"/>
    <w:rsid w:val="00F40C47"/>
    <w:rsid w:val="00F447DE"/>
    <w:rsid w:val="00F45A9B"/>
    <w:rsid w:val="00F50802"/>
    <w:rsid w:val="00F51B34"/>
    <w:rsid w:val="00F602BE"/>
    <w:rsid w:val="00F6068A"/>
    <w:rsid w:val="00F71A73"/>
    <w:rsid w:val="00F72C2F"/>
    <w:rsid w:val="00F73310"/>
    <w:rsid w:val="00F807EC"/>
    <w:rsid w:val="00F875A4"/>
    <w:rsid w:val="00F87696"/>
    <w:rsid w:val="00F877BB"/>
    <w:rsid w:val="00F90DAD"/>
    <w:rsid w:val="00F90FC8"/>
    <w:rsid w:val="00FB0661"/>
    <w:rsid w:val="00FB5651"/>
    <w:rsid w:val="00FD385C"/>
    <w:rsid w:val="00FD7FBF"/>
    <w:rsid w:val="00FE4396"/>
    <w:rsid w:val="00FE5FFA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599A9FB"/>
  <w15:docId w15:val="{C128987F-EDE5-4BCA-A35E-DD6DB6B1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B0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242B0"/>
    <w:pPr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B3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A266F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A266F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0619C4"/>
  </w:style>
  <w:style w:type="paragraph" w:styleId="Prrafodelista">
    <w:name w:val="List Paragraph"/>
    <w:basedOn w:val="Normal"/>
    <w:uiPriority w:val="34"/>
    <w:qFormat/>
    <w:rsid w:val="007F6CA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5DA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666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6C20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rsid w:val="007175D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175DC"/>
    <w:rPr>
      <w:lang w:eastAsia="en-US"/>
    </w:rPr>
  </w:style>
  <w:style w:type="character" w:styleId="Refdenotaalpie">
    <w:name w:val="footnote reference"/>
    <w:basedOn w:val="Fuentedeprrafopredeter"/>
    <w:rsid w:val="007175DC"/>
    <w:rPr>
      <w:vertAlign w:val="superscript"/>
    </w:rPr>
  </w:style>
  <w:style w:type="character" w:styleId="Hipervnculo">
    <w:name w:val="Hyperlink"/>
    <w:basedOn w:val="Fuentedeprrafopredeter"/>
    <w:rsid w:val="00B2415D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04BFF"/>
  </w:style>
  <w:style w:type="paragraph" w:styleId="NormalWeb">
    <w:name w:val="Normal (Web)"/>
    <w:basedOn w:val="Normal"/>
    <w:uiPriority w:val="99"/>
    <w:unhideWhenUsed/>
    <w:rsid w:val="00200610"/>
    <w:pPr>
      <w:spacing w:before="100" w:beforeAutospacing="1" w:after="100" w:afterAutospacing="1"/>
    </w:pPr>
    <w:rPr>
      <w:lang w:eastAsia="es-CO"/>
    </w:rPr>
  </w:style>
  <w:style w:type="character" w:styleId="Refdecomentario">
    <w:name w:val="annotation reference"/>
    <w:basedOn w:val="Fuentedeprrafopredeter"/>
    <w:semiHidden/>
    <w:unhideWhenUsed/>
    <w:rsid w:val="0018598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8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8598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8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859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F03B-291C-46B2-A405-3B403F70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Mejia</dc:creator>
  <cp:lastModifiedBy>Natalia Peña vanegas</cp:lastModifiedBy>
  <cp:revision>3</cp:revision>
  <cp:lastPrinted>2016-12-02T18:09:00Z</cp:lastPrinted>
  <dcterms:created xsi:type="dcterms:W3CDTF">2018-05-17T05:56:00Z</dcterms:created>
  <dcterms:modified xsi:type="dcterms:W3CDTF">2018-05-17T06:00:00Z</dcterms:modified>
</cp:coreProperties>
</file>