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B6" w:rsidRDefault="00EB06B6" w:rsidP="004A6F8F">
      <w:pPr>
        <w:rPr>
          <w:rtl/>
        </w:rPr>
      </w:pPr>
      <w:r>
        <w:rPr>
          <w:rFonts w:cs="Arial" w:hint="cs"/>
          <w:noProof/>
          <w:rtl/>
        </w:rPr>
        <w:t xml:space="preserve">                                                                           </w:t>
      </w:r>
    </w:p>
    <w:p w:rsidR="00EB06B6" w:rsidRPr="00312D7E" w:rsidRDefault="00EB06B6" w:rsidP="00312D7E">
      <w:pPr>
        <w:jc w:val="center"/>
        <w:rPr>
          <w:rFonts w:cs="PT Bold Heading"/>
          <w:sz w:val="28"/>
          <w:szCs w:val="28"/>
          <w:rtl/>
          <w:lang w:bidi="ar-EG"/>
        </w:rPr>
      </w:pPr>
    </w:p>
    <w:p w:rsidR="00007074" w:rsidRDefault="00007074" w:rsidP="00312D7E">
      <w:pPr>
        <w:pStyle w:val="2"/>
        <w:spacing w:before="0"/>
        <w:jc w:val="center"/>
        <w:rPr>
          <w:rFonts w:ascii="Calibri" w:hAnsi="Calibri" w:cs="PT Bold Heading" w:hint="cs"/>
          <w:b/>
          <w:bCs/>
          <w:i/>
          <w:iCs/>
          <w:color w:val="000000"/>
          <w:sz w:val="32"/>
          <w:szCs w:val="32"/>
          <w:rtl/>
        </w:rPr>
      </w:pPr>
      <w:r w:rsidRPr="00312D7E">
        <w:rPr>
          <w:rFonts w:ascii="Calibri" w:hAnsi="Calibri" w:cs="PT Bold Heading"/>
          <w:b/>
          <w:bCs/>
          <w:color w:val="000000"/>
          <w:sz w:val="32"/>
          <w:szCs w:val="32"/>
          <w:rtl/>
        </w:rPr>
        <w:t>يتشكل الهيكل التنظيمي للمركز بقرار من السيد الأستاذ الدكتور/ رئيس الجامعة من مجلس الإدارة ومدير المركز والوحدات الآتية:</w:t>
      </w:r>
    </w:p>
    <w:p w:rsidR="00312D7E" w:rsidRPr="00312D7E" w:rsidRDefault="00312D7E" w:rsidP="00312D7E">
      <w:pPr>
        <w:rPr>
          <w:sz w:val="24"/>
          <w:szCs w:val="24"/>
          <w:rtl/>
        </w:rPr>
      </w:pPr>
    </w:p>
    <w:p w:rsidR="00007074" w:rsidRPr="00312D7E" w:rsidRDefault="00007074" w:rsidP="0053789F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نظم توكيد الجودة والاعتماد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</w:t>
      </w:r>
      <w:r w:rsidRPr="00312D7E">
        <w:rPr>
          <w:b/>
          <w:bCs/>
          <w:color w:val="000000"/>
          <w:sz w:val="30"/>
          <w:szCs w:val="30"/>
          <w:rtl/>
        </w:rPr>
        <w:t>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العمل على تنفيذ متطلبات اللجنة القومية لمشروعات توكيد الجودة والاعتماد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مراجعة سير العمل بالمشروعات المنفذة بالكليات الخاصة بضمان الجودة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فحص مشروعات الكليات قبل التقدم للاعتماد</w:t>
      </w:r>
      <w:r w:rsidRPr="00312D7E">
        <w:rPr>
          <w:rFonts w:cs="Calibri"/>
          <w:color w:val="000000"/>
          <w:sz w:val="30"/>
          <w:szCs w:val="30"/>
          <w:rtl/>
        </w:rPr>
        <w:t xml:space="preserve">. </w:t>
      </w:r>
    </w:p>
    <w:p w:rsidR="00007074" w:rsidRPr="00312D7E" w:rsidRDefault="00007074" w:rsidP="0053789F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التدريب والدعم الفني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وضع البرامج التدريبية بالجامعة الخاصة بنظم توكيد الجودة والاعتماد والاضطلاع بتنفيذها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تقديم الدعم الفني الخاص بأنشطة توكيد الجودة والاعتماد لكل الكليات بالجامعة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تنفيذ البرامج التدريبية وتقديم الدعم الفني في مجالات الجودة والاعتماد للمؤسسات والهيئات في المجتمعات المحلية حسب ما يسند للمركز من إدارة الجامعة</w:t>
      </w:r>
    </w:p>
    <w:p w:rsidR="00007074" w:rsidRPr="00312D7E" w:rsidRDefault="00007074" w:rsidP="0053789F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التوعية والإعلام والتنسيق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نشر أهداف ومجالات العمل بمركز توكيد الجودة والاعتماد في الجامعة والمجتمعات المحلية المحيطة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التنسيق مع المراكز المناظرة في الجامعات الأخرى والعمل على إيجاد آلية للتواصل والتكامل والتنسيق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إبراز دور المركز في الوسائل الإعلامية المختلفة وعلى الشبكة الدولي</w:t>
      </w:r>
      <w:bookmarkStart w:id="0" w:name="_GoBack"/>
      <w:bookmarkEnd w:id="0"/>
      <w:r w:rsidRPr="00312D7E">
        <w:rPr>
          <w:color w:val="000000"/>
          <w:sz w:val="30"/>
          <w:szCs w:val="30"/>
          <w:rtl/>
        </w:rPr>
        <w:t>ة للمعلومات</w:t>
      </w:r>
      <w:r w:rsidRPr="00312D7E">
        <w:rPr>
          <w:rFonts w:cs="Calibri"/>
          <w:color w:val="000000"/>
          <w:sz w:val="30"/>
          <w:szCs w:val="30"/>
          <w:rtl/>
        </w:rPr>
        <w:t xml:space="preserve">. </w:t>
      </w:r>
    </w:p>
    <w:p w:rsidR="00007074" w:rsidRPr="00312D7E" w:rsidRDefault="00007074" w:rsidP="0053789F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التخطيط</w:t>
      </w:r>
      <w:r w:rsidRPr="00312D7E">
        <w:rPr>
          <w:rFonts w:hint="cs"/>
          <w:b/>
          <w:bCs/>
          <w:color w:val="000000"/>
          <w:sz w:val="34"/>
          <w:szCs w:val="34"/>
          <w:u w:val="single"/>
          <w:rtl/>
        </w:rPr>
        <w:t xml:space="preserve"> الاستراتيجي</w:t>
      </w:r>
      <w:r w:rsidRPr="00312D7E">
        <w:rPr>
          <w:b/>
          <w:bCs/>
          <w:color w:val="000000"/>
          <w:sz w:val="34"/>
          <w:szCs w:val="34"/>
          <w:u w:val="single"/>
          <w:rtl/>
        </w:rPr>
        <w:t xml:space="preserve"> والتطوير المستمر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: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التنسيق والمشاركة بالتخطيط وإبداء الرأي في وضع الاستراتيجية الخاصة بالجامعة</w:t>
      </w:r>
      <w:r w:rsidRPr="00312D7E">
        <w:rPr>
          <w:rFonts w:cs="Calibri"/>
          <w:color w:val="000000"/>
          <w:sz w:val="30"/>
          <w:szCs w:val="30"/>
          <w:rtl/>
        </w:rPr>
        <w:t xml:space="preserve">. 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lastRenderedPageBreak/>
        <w:t xml:space="preserve">وضع الخطط التنفيذية للأعمال والأنشطة التي يضطلع بها المركز إعمالا </w:t>
      </w:r>
      <w:r w:rsidRPr="00312D7E">
        <w:rPr>
          <w:rFonts w:hint="cs"/>
          <w:color w:val="000000"/>
          <w:sz w:val="30"/>
          <w:szCs w:val="30"/>
          <w:rtl/>
        </w:rPr>
        <w:t>لاستراتيجية</w:t>
      </w:r>
      <w:r w:rsidRPr="00312D7E">
        <w:rPr>
          <w:color w:val="000000"/>
          <w:sz w:val="30"/>
          <w:szCs w:val="30"/>
          <w:rtl/>
        </w:rPr>
        <w:t xml:space="preserve"> الجامعة وفي ضوء المتطلبات القومية في جودة التعليم العالي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العمل على تطوير الأداء بالمركز بصفة دائمة ومستمرة حتى يفي بالمتطلبات والأنشطة الخاصة به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  <w:sz w:val="34"/>
          <w:szCs w:val="34"/>
          <w:rtl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المتابعة والتقييم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المتابعة والتقييم لجميع الكليات بالجامعة في إطار متطلبات جودة العملية التعليمية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المتابعة والتقييم للأداء بالمركز ووحداته الفرعية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رفع التقارير الخاصة بأعمال المتابعة والتقييم مصحوبة بالمقترحات والتوصيات وذلك إلى مجلس إدارة المركز للإحاطة وإقرار الإجراءات اللازمة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0"/>
          <w:numId w:val="13"/>
        </w:numPr>
        <w:spacing w:after="0" w:line="240" w:lineRule="auto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التنمية المجتمعية والاتصال بالخريجين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تبني الأنشطة والبرامج الخاصة بنظم توكيد وضمان الجودة في ميادين ومجالات العمل التي من شأنها تنمية المجتمعات المحلية المحيطة بالجامعة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دراسة المشروعات والأنشطة التنموية التي تتعلق بالمجتمع الجامعي والمجتمعات المحيطة بالجامعة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إنشاء قاعدة بيانات للخريجين من الجامعة مع إيجاد آلية وقناة للاتصال والتواصل معهم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الاضطلاع بالأنشطة الخاصة بمتابعة الخريجين وتلقى أية مقترحات من شأنها تفعيل وزيادة الارتباط بين الجامعة وخريجيها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عمل الدراسات لمتطلبات سوق العمل بالنسبة للخريجين سواء من ناحية الأعداد المطلوبة من التخصصات المختلفة أو من ناحية كفاءة وتأهيل الخريجين</w:t>
      </w:r>
      <w:r w:rsidRPr="00312D7E">
        <w:rPr>
          <w:rFonts w:cs="Calibri"/>
          <w:color w:val="000000"/>
          <w:sz w:val="30"/>
          <w:szCs w:val="30"/>
          <w:rtl/>
        </w:rPr>
        <w:t xml:space="preserve">.  </w:t>
      </w:r>
    </w:p>
    <w:p w:rsidR="00007074" w:rsidRPr="00312D7E" w:rsidRDefault="00007074" w:rsidP="0053789F">
      <w:pPr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  <w:color w:val="000000"/>
          <w:sz w:val="34"/>
          <w:szCs w:val="34"/>
          <w:u w:val="single"/>
        </w:rPr>
      </w:pPr>
      <w:r w:rsidRPr="00312D7E">
        <w:rPr>
          <w:b/>
          <w:bCs/>
          <w:color w:val="000000"/>
          <w:sz w:val="34"/>
          <w:szCs w:val="34"/>
          <w:u w:val="single"/>
          <w:rtl/>
        </w:rPr>
        <w:t>وحدة الشئون الإدارية والمالية والفنية</w:t>
      </w:r>
      <w:r w:rsidRPr="00312D7E">
        <w:rPr>
          <w:rFonts w:cs="Calibri"/>
          <w:b/>
          <w:bCs/>
          <w:color w:val="000000"/>
          <w:sz w:val="34"/>
          <w:szCs w:val="34"/>
          <w:u w:val="single"/>
          <w:rtl/>
        </w:rPr>
        <w:t>.</w:t>
      </w:r>
    </w:p>
    <w:p w:rsidR="00007074" w:rsidRPr="00312D7E" w:rsidRDefault="00007074" w:rsidP="00007074">
      <w:pPr>
        <w:spacing w:after="0"/>
        <w:ind w:firstLine="720"/>
        <w:jc w:val="both"/>
        <w:rPr>
          <w:rFonts w:cs="Calibri"/>
          <w:b/>
          <w:bCs/>
          <w:color w:val="000000"/>
          <w:sz w:val="30"/>
          <w:szCs w:val="30"/>
          <w:rtl/>
          <w:lang w:bidi="ar-EG"/>
        </w:rPr>
      </w:pPr>
      <w:r w:rsidRPr="00312D7E">
        <w:rPr>
          <w:b/>
          <w:bCs/>
          <w:color w:val="000000"/>
          <w:sz w:val="30"/>
          <w:szCs w:val="30"/>
          <w:rtl/>
          <w:lang w:bidi="ar-EG"/>
        </w:rPr>
        <w:t>وتختص الوحدة بالآتي</w:t>
      </w:r>
      <w:r w:rsidRPr="00312D7E">
        <w:rPr>
          <w:rFonts w:cs="Calibri"/>
          <w:b/>
          <w:bCs/>
          <w:color w:val="000000"/>
          <w:sz w:val="30"/>
          <w:szCs w:val="30"/>
          <w:rtl/>
          <w:lang w:bidi="ar-EG"/>
        </w:rPr>
        <w:t>: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</w:rPr>
      </w:pPr>
      <w:r w:rsidRPr="00312D7E">
        <w:rPr>
          <w:color w:val="000000"/>
          <w:sz w:val="30"/>
          <w:szCs w:val="30"/>
          <w:rtl/>
        </w:rPr>
        <w:t>الاضطلاع بجميع الأعمال الإدارية والمالية للمركز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007074" w:rsidRPr="00312D7E" w:rsidRDefault="00007074" w:rsidP="0053789F">
      <w:pPr>
        <w:numPr>
          <w:ilvl w:val="1"/>
          <w:numId w:val="12"/>
        </w:numPr>
        <w:spacing w:after="0" w:line="240" w:lineRule="auto"/>
        <w:ind w:right="0"/>
        <w:jc w:val="both"/>
        <w:rPr>
          <w:rFonts w:cs="Calibri"/>
          <w:color w:val="000000"/>
          <w:sz w:val="30"/>
          <w:szCs w:val="30"/>
          <w:rtl/>
        </w:rPr>
      </w:pPr>
      <w:r w:rsidRPr="00312D7E">
        <w:rPr>
          <w:color w:val="000000"/>
          <w:sz w:val="30"/>
          <w:szCs w:val="30"/>
          <w:rtl/>
        </w:rPr>
        <w:t>إنشاء وإدارة قاعدة البيانات الخاصة بالمركز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p w:rsidR="00965E56" w:rsidRPr="00312D7E" w:rsidRDefault="00007074" w:rsidP="00007074">
      <w:pPr>
        <w:jc w:val="both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r w:rsidRPr="00312D7E">
        <w:rPr>
          <w:b/>
          <w:bCs/>
          <w:color w:val="000000"/>
          <w:sz w:val="30"/>
          <w:szCs w:val="30"/>
          <w:rtl/>
        </w:rPr>
        <w:t>وللمركز أن ينشئ وحدات أخري كلما اقتضت الحاجة إلى ذلك</w:t>
      </w:r>
      <w:r w:rsidRPr="00312D7E">
        <w:rPr>
          <w:b/>
          <w:bCs/>
          <w:color w:val="000000"/>
          <w:sz w:val="30"/>
          <w:szCs w:val="30"/>
          <w:rtl/>
          <w:lang w:bidi="ar-EG"/>
        </w:rPr>
        <w:t xml:space="preserve"> بناءا على اقتراح من وحدة </w:t>
      </w:r>
      <w:r w:rsidRPr="00312D7E">
        <w:rPr>
          <w:b/>
          <w:bCs/>
          <w:color w:val="000000"/>
          <w:sz w:val="30"/>
          <w:szCs w:val="30"/>
          <w:rtl/>
        </w:rPr>
        <w:t>التخطيط والتطوير المستمر</w:t>
      </w:r>
      <w:r w:rsidRPr="00312D7E">
        <w:rPr>
          <w:rFonts w:cs="Calibri"/>
          <w:color w:val="000000"/>
          <w:sz w:val="30"/>
          <w:szCs w:val="30"/>
          <w:rtl/>
        </w:rPr>
        <w:t>.</w:t>
      </w:r>
    </w:p>
    <w:sectPr w:rsidR="00965E56" w:rsidRPr="00312D7E" w:rsidSect="009E7151">
      <w:head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24" w:rsidRDefault="00F47124" w:rsidP="00EB06B6">
      <w:pPr>
        <w:spacing w:after="0" w:line="240" w:lineRule="auto"/>
      </w:pPr>
      <w:r>
        <w:separator/>
      </w:r>
    </w:p>
  </w:endnote>
  <w:endnote w:type="continuationSeparator" w:id="0">
    <w:p w:rsidR="00F47124" w:rsidRDefault="00F47124" w:rsidP="00EB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24" w:rsidRDefault="00F47124" w:rsidP="00EB06B6">
      <w:pPr>
        <w:spacing w:after="0" w:line="240" w:lineRule="auto"/>
      </w:pPr>
      <w:r>
        <w:separator/>
      </w:r>
    </w:p>
  </w:footnote>
  <w:footnote w:type="continuationSeparator" w:id="0">
    <w:p w:rsidR="00F47124" w:rsidRDefault="00F47124" w:rsidP="00EB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B6" w:rsidRPr="00D8680D" w:rsidRDefault="007706FD" w:rsidP="007706FD">
    <w:pPr>
      <w:pStyle w:val="a4"/>
      <w:rPr>
        <w:rtl/>
        <w:lang w:bidi="ar-EG"/>
      </w:rPr>
    </w:pPr>
    <w:r>
      <w:rPr>
        <w:noProof/>
      </w:rPr>
      <w:drawing>
        <wp:anchor distT="0" distB="0" distL="114300" distR="114300" simplePos="0" relativeHeight="251644416" behindDoc="1" locked="0" layoutInCell="1" allowOverlap="1" wp14:anchorId="0D89CC5C" wp14:editId="7A71AC3A">
          <wp:simplePos x="0" y="0"/>
          <wp:positionH relativeFrom="column">
            <wp:posOffset>-207645</wp:posOffset>
          </wp:positionH>
          <wp:positionV relativeFrom="paragraph">
            <wp:posOffset>177800</wp:posOffset>
          </wp:positionV>
          <wp:extent cx="1288415" cy="790575"/>
          <wp:effectExtent l="0" t="0" r="6985" b="9525"/>
          <wp:wrapTight wrapText="bothSides">
            <wp:wrapPolygon edited="0">
              <wp:start x="0" y="0"/>
              <wp:lineTo x="0" y="21340"/>
              <wp:lineTo x="21398" y="21340"/>
              <wp:lineTo x="2139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  <w:r>
      <w:rPr>
        <w:rFonts w:ascii="Arial" w:hAnsi="Arial"/>
        <w:b/>
        <w:bCs/>
        <w:noProof/>
        <w:sz w:val="40"/>
        <w:szCs w:val="40"/>
      </w:rPr>
      <w:drawing>
        <wp:inline distT="0" distB="0" distL="0" distR="0" wp14:anchorId="75E91FDC" wp14:editId="0B781F41">
          <wp:extent cx="971550" cy="971550"/>
          <wp:effectExtent l="0" t="0" r="0" b="0"/>
          <wp:docPr id="4" name="Picture 4" descr="F:\مشروعات Projects\مشروع الحزام الشجري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مشروعات Projects\مشروع الحزام الشجري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31"/>
    <w:multiLevelType w:val="hybridMultilevel"/>
    <w:tmpl w:val="5E1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A7F"/>
    <w:multiLevelType w:val="hybridMultilevel"/>
    <w:tmpl w:val="524A4C20"/>
    <w:lvl w:ilvl="0" w:tplc="3F6C7176">
      <w:numFmt w:val="bullet"/>
      <w:lvlText w:val="•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0CA"/>
    <w:multiLevelType w:val="hybridMultilevel"/>
    <w:tmpl w:val="CEBA6FC4"/>
    <w:lvl w:ilvl="0" w:tplc="4F807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3AF5"/>
    <w:multiLevelType w:val="hybridMultilevel"/>
    <w:tmpl w:val="C7E8A634"/>
    <w:lvl w:ilvl="0" w:tplc="752A5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520C"/>
    <w:multiLevelType w:val="hybridMultilevel"/>
    <w:tmpl w:val="464E7EBC"/>
    <w:lvl w:ilvl="0" w:tplc="A5066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36B9A"/>
    <w:multiLevelType w:val="hybridMultilevel"/>
    <w:tmpl w:val="9BC08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2454"/>
    <w:multiLevelType w:val="hybridMultilevel"/>
    <w:tmpl w:val="C8E0D8D6"/>
    <w:lvl w:ilvl="0" w:tplc="516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B718F"/>
    <w:multiLevelType w:val="hybridMultilevel"/>
    <w:tmpl w:val="847C22D2"/>
    <w:lvl w:ilvl="0" w:tplc="8774E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54FC"/>
    <w:multiLevelType w:val="hybridMultilevel"/>
    <w:tmpl w:val="2C78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32673"/>
    <w:multiLevelType w:val="hybridMultilevel"/>
    <w:tmpl w:val="C5BE8A90"/>
    <w:lvl w:ilvl="0" w:tplc="A5F07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0BCE"/>
    <w:multiLevelType w:val="hybridMultilevel"/>
    <w:tmpl w:val="B74EC2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11">
    <w:nsid w:val="5C237BB7"/>
    <w:multiLevelType w:val="hybridMultilevel"/>
    <w:tmpl w:val="A9A49A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062D44"/>
    <w:multiLevelType w:val="hybridMultilevel"/>
    <w:tmpl w:val="9B4074C2"/>
    <w:lvl w:ilvl="0" w:tplc="516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C412E"/>
    <w:multiLevelType w:val="hybridMultilevel"/>
    <w:tmpl w:val="9F669726"/>
    <w:lvl w:ilvl="0" w:tplc="5928D3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3684C"/>
    <w:multiLevelType w:val="hybridMultilevel"/>
    <w:tmpl w:val="BB38E2DA"/>
    <w:lvl w:ilvl="0" w:tplc="EDD821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  <w:b w:val="0"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263A7D"/>
    <w:multiLevelType w:val="hybridMultilevel"/>
    <w:tmpl w:val="FC9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57C"/>
    <w:multiLevelType w:val="hybridMultilevel"/>
    <w:tmpl w:val="645463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cs="Courier New" w:hint="default"/>
      </w:rPr>
    </w:lvl>
    <w:lvl w:ilvl="2" w:tplc="3F6C7176">
      <w:numFmt w:val="bullet"/>
      <w:lvlText w:val="•"/>
      <w:lvlJc w:val="left"/>
      <w:pPr>
        <w:ind w:left="1980" w:hanging="360"/>
      </w:pPr>
      <w:rPr>
        <w:rFonts w:ascii="Simplified Arabic" w:eastAsiaTheme="minorHAnsi" w:hAnsi="Simplified Arabic" w:cs="Simplified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17">
    <w:nsid w:val="79C30582"/>
    <w:multiLevelType w:val="hybridMultilevel"/>
    <w:tmpl w:val="DF0A18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14EAD"/>
    <w:multiLevelType w:val="hybridMultilevel"/>
    <w:tmpl w:val="1570E13A"/>
    <w:lvl w:ilvl="0" w:tplc="3F6C7176">
      <w:numFmt w:val="bullet"/>
      <w:lvlText w:val="•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742E"/>
    <w:multiLevelType w:val="hybridMultilevel"/>
    <w:tmpl w:val="288010E0"/>
    <w:lvl w:ilvl="0" w:tplc="516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1"/>
  </w:num>
  <w:num w:numId="17">
    <w:abstractNumId w:val="5"/>
  </w:num>
  <w:num w:numId="18">
    <w:abstractNumId w:val="18"/>
  </w:num>
  <w:num w:numId="19">
    <w:abstractNumId w:val="4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6"/>
    <w:rsid w:val="00007074"/>
    <w:rsid w:val="00020724"/>
    <w:rsid w:val="000467EB"/>
    <w:rsid w:val="0005527F"/>
    <w:rsid w:val="000608F9"/>
    <w:rsid w:val="00062C33"/>
    <w:rsid w:val="00064ADF"/>
    <w:rsid w:val="00065266"/>
    <w:rsid w:val="00065FDA"/>
    <w:rsid w:val="00067DA6"/>
    <w:rsid w:val="00080430"/>
    <w:rsid w:val="000D46D3"/>
    <w:rsid w:val="0012023C"/>
    <w:rsid w:val="00123150"/>
    <w:rsid w:val="00127AC1"/>
    <w:rsid w:val="00146D23"/>
    <w:rsid w:val="00171FFB"/>
    <w:rsid w:val="00181271"/>
    <w:rsid w:val="00182CA2"/>
    <w:rsid w:val="00183CA3"/>
    <w:rsid w:val="0019177D"/>
    <w:rsid w:val="001A02CB"/>
    <w:rsid w:val="001A0C63"/>
    <w:rsid w:val="001B32F6"/>
    <w:rsid w:val="001D67E4"/>
    <w:rsid w:val="001E2322"/>
    <w:rsid w:val="001E668B"/>
    <w:rsid w:val="001F3780"/>
    <w:rsid w:val="00205690"/>
    <w:rsid w:val="00211BB5"/>
    <w:rsid w:val="002256C8"/>
    <w:rsid w:val="00234B04"/>
    <w:rsid w:val="0025632E"/>
    <w:rsid w:val="00287A2D"/>
    <w:rsid w:val="002A3186"/>
    <w:rsid w:val="002B25A1"/>
    <w:rsid w:val="002D51C1"/>
    <w:rsid w:val="002D635C"/>
    <w:rsid w:val="002D7FD9"/>
    <w:rsid w:val="002E19D9"/>
    <w:rsid w:val="00307F49"/>
    <w:rsid w:val="00312D7E"/>
    <w:rsid w:val="00317229"/>
    <w:rsid w:val="00321FCD"/>
    <w:rsid w:val="00332299"/>
    <w:rsid w:val="00347D02"/>
    <w:rsid w:val="00352592"/>
    <w:rsid w:val="0035755E"/>
    <w:rsid w:val="003658F1"/>
    <w:rsid w:val="003A2A4A"/>
    <w:rsid w:val="003A74C7"/>
    <w:rsid w:val="003C0C19"/>
    <w:rsid w:val="003D0F19"/>
    <w:rsid w:val="003D4EFE"/>
    <w:rsid w:val="003E516F"/>
    <w:rsid w:val="0040528B"/>
    <w:rsid w:val="004070EF"/>
    <w:rsid w:val="00415AF2"/>
    <w:rsid w:val="004507A8"/>
    <w:rsid w:val="00454973"/>
    <w:rsid w:val="00466B40"/>
    <w:rsid w:val="004718C2"/>
    <w:rsid w:val="00474AC5"/>
    <w:rsid w:val="00496A8D"/>
    <w:rsid w:val="004A6F8F"/>
    <w:rsid w:val="004C0C8B"/>
    <w:rsid w:val="004D210A"/>
    <w:rsid w:val="004F4E97"/>
    <w:rsid w:val="0051656F"/>
    <w:rsid w:val="0053789F"/>
    <w:rsid w:val="00546D51"/>
    <w:rsid w:val="00550FB3"/>
    <w:rsid w:val="005B2AA5"/>
    <w:rsid w:val="005E5A01"/>
    <w:rsid w:val="005F1B38"/>
    <w:rsid w:val="005F642B"/>
    <w:rsid w:val="006214FB"/>
    <w:rsid w:val="0064624A"/>
    <w:rsid w:val="00651FB5"/>
    <w:rsid w:val="00667C54"/>
    <w:rsid w:val="00695523"/>
    <w:rsid w:val="006A35AC"/>
    <w:rsid w:val="006B61D2"/>
    <w:rsid w:val="006C4F30"/>
    <w:rsid w:val="006C5F94"/>
    <w:rsid w:val="006C6ACA"/>
    <w:rsid w:val="006E252F"/>
    <w:rsid w:val="006E2DE1"/>
    <w:rsid w:val="0072671A"/>
    <w:rsid w:val="00730BDA"/>
    <w:rsid w:val="007517E1"/>
    <w:rsid w:val="0076736E"/>
    <w:rsid w:val="007706FD"/>
    <w:rsid w:val="0078587C"/>
    <w:rsid w:val="00794B1A"/>
    <w:rsid w:val="007A5E7C"/>
    <w:rsid w:val="007B6091"/>
    <w:rsid w:val="007D091F"/>
    <w:rsid w:val="007E2F71"/>
    <w:rsid w:val="00804B8B"/>
    <w:rsid w:val="00807EE9"/>
    <w:rsid w:val="00816528"/>
    <w:rsid w:val="00824F12"/>
    <w:rsid w:val="00827E6C"/>
    <w:rsid w:val="00833CF2"/>
    <w:rsid w:val="00842818"/>
    <w:rsid w:val="0084340E"/>
    <w:rsid w:val="008639FC"/>
    <w:rsid w:val="00864E64"/>
    <w:rsid w:val="0088665A"/>
    <w:rsid w:val="008F43AA"/>
    <w:rsid w:val="009056E7"/>
    <w:rsid w:val="0091161D"/>
    <w:rsid w:val="009145D2"/>
    <w:rsid w:val="00915EE6"/>
    <w:rsid w:val="009240A0"/>
    <w:rsid w:val="00925C36"/>
    <w:rsid w:val="009429C8"/>
    <w:rsid w:val="00965E56"/>
    <w:rsid w:val="0098226D"/>
    <w:rsid w:val="00983AD5"/>
    <w:rsid w:val="009A3BBF"/>
    <w:rsid w:val="009A6C01"/>
    <w:rsid w:val="009B3F2A"/>
    <w:rsid w:val="009D0045"/>
    <w:rsid w:val="009D6A76"/>
    <w:rsid w:val="009D6F46"/>
    <w:rsid w:val="009E7151"/>
    <w:rsid w:val="00A10438"/>
    <w:rsid w:val="00A211C0"/>
    <w:rsid w:val="00A916F9"/>
    <w:rsid w:val="00AC4749"/>
    <w:rsid w:val="00AC531B"/>
    <w:rsid w:val="00AC78A0"/>
    <w:rsid w:val="00AD5C24"/>
    <w:rsid w:val="00B11A25"/>
    <w:rsid w:val="00B14F20"/>
    <w:rsid w:val="00B17211"/>
    <w:rsid w:val="00B22592"/>
    <w:rsid w:val="00B35C6C"/>
    <w:rsid w:val="00B43A8A"/>
    <w:rsid w:val="00B536FA"/>
    <w:rsid w:val="00B56AD8"/>
    <w:rsid w:val="00B70992"/>
    <w:rsid w:val="00B716E0"/>
    <w:rsid w:val="00B752D5"/>
    <w:rsid w:val="00B77F09"/>
    <w:rsid w:val="00B92008"/>
    <w:rsid w:val="00B946E2"/>
    <w:rsid w:val="00B94A7D"/>
    <w:rsid w:val="00B97CD3"/>
    <w:rsid w:val="00BA1223"/>
    <w:rsid w:val="00BA20A5"/>
    <w:rsid w:val="00BB1D0F"/>
    <w:rsid w:val="00BB2E55"/>
    <w:rsid w:val="00BB7EB0"/>
    <w:rsid w:val="00C002BF"/>
    <w:rsid w:val="00C20884"/>
    <w:rsid w:val="00C2152E"/>
    <w:rsid w:val="00C325EE"/>
    <w:rsid w:val="00C433B8"/>
    <w:rsid w:val="00C447F2"/>
    <w:rsid w:val="00C44FC1"/>
    <w:rsid w:val="00C540FC"/>
    <w:rsid w:val="00C576A5"/>
    <w:rsid w:val="00C72027"/>
    <w:rsid w:val="00C9162C"/>
    <w:rsid w:val="00CC174D"/>
    <w:rsid w:val="00CC4D21"/>
    <w:rsid w:val="00CE5A68"/>
    <w:rsid w:val="00D01E67"/>
    <w:rsid w:val="00D229A0"/>
    <w:rsid w:val="00D27074"/>
    <w:rsid w:val="00D309DB"/>
    <w:rsid w:val="00D46505"/>
    <w:rsid w:val="00D65F38"/>
    <w:rsid w:val="00D70D66"/>
    <w:rsid w:val="00D70F4E"/>
    <w:rsid w:val="00D7723D"/>
    <w:rsid w:val="00D8680D"/>
    <w:rsid w:val="00D86C22"/>
    <w:rsid w:val="00D9013B"/>
    <w:rsid w:val="00DA5ADF"/>
    <w:rsid w:val="00DF33F5"/>
    <w:rsid w:val="00E24360"/>
    <w:rsid w:val="00E34F26"/>
    <w:rsid w:val="00E47E49"/>
    <w:rsid w:val="00E57976"/>
    <w:rsid w:val="00E77E16"/>
    <w:rsid w:val="00E845CA"/>
    <w:rsid w:val="00E945C5"/>
    <w:rsid w:val="00EA0D53"/>
    <w:rsid w:val="00EA6032"/>
    <w:rsid w:val="00EB06B6"/>
    <w:rsid w:val="00EB5BCD"/>
    <w:rsid w:val="00EC0E5A"/>
    <w:rsid w:val="00EC5BC7"/>
    <w:rsid w:val="00EF0089"/>
    <w:rsid w:val="00F31CB4"/>
    <w:rsid w:val="00F47124"/>
    <w:rsid w:val="00F64544"/>
    <w:rsid w:val="00F729C7"/>
    <w:rsid w:val="00F87969"/>
    <w:rsid w:val="00F91775"/>
    <w:rsid w:val="00FA0DCF"/>
    <w:rsid w:val="00FA246B"/>
    <w:rsid w:val="00FC6CEE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7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06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06B6"/>
  </w:style>
  <w:style w:type="paragraph" w:styleId="a5">
    <w:name w:val="footer"/>
    <w:basedOn w:val="a"/>
    <w:link w:val="Char1"/>
    <w:uiPriority w:val="99"/>
    <w:unhideWhenUsed/>
    <w:rsid w:val="00EB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06B6"/>
  </w:style>
  <w:style w:type="paragraph" w:styleId="a6">
    <w:name w:val="List Paragraph"/>
    <w:basedOn w:val="a"/>
    <w:uiPriority w:val="34"/>
    <w:qFormat/>
    <w:rsid w:val="004A6F8F"/>
    <w:pPr>
      <w:ind w:left="720"/>
      <w:contextualSpacing/>
    </w:pPr>
  </w:style>
  <w:style w:type="table" w:styleId="a7">
    <w:name w:val="Table Grid"/>
    <w:basedOn w:val="a1"/>
    <w:uiPriority w:val="39"/>
    <w:rsid w:val="00B1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6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007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7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B06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06B6"/>
  </w:style>
  <w:style w:type="paragraph" w:styleId="a5">
    <w:name w:val="footer"/>
    <w:basedOn w:val="a"/>
    <w:link w:val="Char1"/>
    <w:uiPriority w:val="99"/>
    <w:unhideWhenUsed/>
    <w:rsid w:val="00EB0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06B6"/>
  </w:style>
  <w:style w:type="paragraph" w:styleId="a6">
    <w:name w:val="List Paragraph"/>
    <w:basedOn w:val="a"/>
    <w:uiPriority w:val="34"/>
    <w:qFormat/>
    <w:rsid w:val="004A6F8F"/>
    <w:pPr>
      <w:ind w:left="720"/>
      <w:contextualSpacing/>
    </w:pPr>
  </w:style>
  <w:style w:type="table" w:styleId="a7">
    <w:name w:val="Table Grid"/>
    <w:basedOn w:val="a1"/>
    <w:uiPriority w:val="39"/>
    <w:rsid w:val="00B1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6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007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7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8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4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3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7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104-CE4B-43A7-A3EC-C681868B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‏‏مستخدم Windows</cp:lastModifiedBy>
  <cp:revision>3</cp:revision>
  <cp:lastPrinted>2019-09-30T20:10:00Z</cp:lastPrinted>
  <dcterms:created xsi:type="dcterms:W3CDTF">2020-04-11T13:08:00Z</dcterms:created>
  <dcterms:modified xsi:type="dcterms:W3CDTF">2020-04-12T17:39:00Z</dcterms:modified>
</cp:coreProperties>
</file>