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E56" w:rsidRPr="00AD621B" w:rsidRDefault="00796E56" w:rsidP="00796E56">
      <w:pPr>
        <w:jc w:val="center"/>
        <w:rPr>
          <w:rFonts w:ascii="Arial" w:hAnsi="Arial" w:cs="Arial"/>
          <w:b/>
          <w:sz w:val="28"/>
          <w:u w:val="single"/>
        </w:rPr>
      </w:pPr>
      <w:r w:rsidRPr="00AD621B">
        <w:rPr>
          <w:rFonts w:ascii="Arial" w:hAnsi="Arial" w:cs="Arial"/>
          <w:b/>
          <w:sz w:val="36"/>
          <w:u w:val="single"/>
        </w:rPr>
        <w:t>NUEVO CORONAVIRUS</w:t>
      </w:r>
    </w:p>
    <w:p w:rsidR="00796E56" w:rsidRDefault="00796E56" w:rsidP="00796E56">
      <w:pPr>
        <w:jc w:val="center"/>
        <w:rPr>
          <w:rFonts w:ascii="Arial" w:hAnsi="Arial" w:cs="Arial"/>
          <w:sz w:val="28"/>
        </w:rPr>
      </w:pPr>
    </w:p>
    <w:p w:rsidR="00796E56" w:rsidRPr="00796E56" w:rsidRDefault="00796E56" w:rsidP="00AD621B">
      <w:pPr>
        <w:jc w:val="both"/>
        <w:rPr>
          <w:rFonts w:ascii="Arial" w:hAnsi="Arial" w:cs="Arial"/>
          <w:b/>
          <w:sz w:val="28"/>
        </w:rPr>
      </w:pPr>
      <w:r w:rsidRPr="00796E56">
        <w:rPr>
          <w:rFonts w:ascii="Arial" w:hAnsi="Arial" w:cs="Arial"/>
          <w:b/>
          <w:sz w:val="28"/>
        </w:rPr>
        <w:t>¿Nombre oficial del nuevo coronavirus?</w:t>
      </w:r>
    </w:p>
    <w:p w:rsidR="00796E56" w:rsidRPr="00796E56" w:rsidRDefault="00796E56" w:rsidP="00AD621B">
      <w:pPr>
        <w:jc w:val="both"/>
        <w:rPr>
          <w:rFonts w:ascii="Arial" w:hAnsi="Arial" w:cs="Arial"/>
          <w:sz w:val="28"/>
        </w:rPr>
      </w:pPr>
      <w:r w:rsidRPr="00796E56">
        <w:rPr>
          <w:rFonts w:ascii="Arial" w:hAnsi="Arial" w:cs="Arial"/>
          <w:sz w:val="28"/>
        </w:rPr>
        <w:t>La Organización Mundial de la Salud anunció el 11 de febrero de 2020 que COVID-19 sería el nombre oficial de la enfermedad</w:t>
      </w:r>
    </w:p>
    <w:p w:rsidR="00182FB8" w:rsidRPr="00796E56" w:rsidRDefault="00182FB8" w:rsidP="00AD621B">
      <w:pPr>
        <w:jc w:val="both"/>
        <w:rPr>
          <w:rFonts w:ascii="Arial" w:hAnsi="Arial" w:cs="Arial"/>
          <w:b/>
          <w:sz w:val="28"/>
        </w:rPr>
      </w:pPr>
      <w:r w:rsidRPr="00796E56">
        <w:rPr>
          <w:rFonts w:ascii="Arial" w:hAnsi="Arial" w:cs="Arial"/>
          <w:b/>
          <w:sz w:val="28"/>
        </w:rPr>
        <w:t>¿Cuál es su gravedad?</w:t>
      </w:r>
    </w:p>
    <w:p w:rsidR="002135ED" w:rsidRPr="00796E56" w:rsidRDefault="002135ED" w:rsidP="00AD621B">
      <w:pPr>
        <w:jc w:val="both"/>
        <w:rPr>
          <w:rFonts w:ascii="Arial" w:hAnsi="Arial" w:cs="Arial"/>
          <w:sz w:val="28"/>
        </w:rPr>
      </w:pPr>
      <w:r w:rsidRPr="00796E56">
        <w:rPr>
          <w:rFonts w:ascii="Arial" w:hAnsi="Arial" w:cs="Arial"/>
          <w:sz w:val="28"/>
        </w:rPr>
        <w:t>La gravedad de la enfermedad puede ser diferente en todas las personas. Del 80 al 90% de las personas con Covid-19 se curan solas, una vez el virus termina su proceso.  Un pequeño grupo se complica porque tiene edad avanzada y usualmente otras enfermedades como diabetes, enfermedad pulmonar obstructiva crónica y otras que comprometen su estado inmunológico, estas personas pueden requerir oxígeno y manejo en unidades de cuidado intensivo. Como con todas las gripas, una parte de estos casos puede terminar en la muerte.</w:t>
      </w:r>
    </w:p>
    <w:p w:rsidR="00182FB8" w:rsidRPr="00796E56" w:rsidRDefault="00182FB8" w:rsidP="00AD621B">
      <w:pPr>
        <w:jc w:val="both"/>
        <w:rPr>
          <w:rFonts w:ascii="Arial" w:hAnsi="Arial" w:cs="Arial"/>
          <w:b/>
          <w:sz w:val="28"/>
        </w:rPr>
      </w:pPr>
      <w:r w:rsidRPr="00796E56">
        <w:rPr>
          <w:rFonts w:ascii="Arial" w:hAnsi="Arial" w:cs="Arial"/>
          <w:b/>
          <w:sz w:val="28"/>
        </w:rPr>
        <w:t xml:space="preserve">¿Cuánto puede durar uno enfermo? </w:t>
      </w:r>
    </w:p>
    <w:p w:rsidR="002135ED" w:rsidRPr="00796E56" w:rsidRDefault="002135ED" w:rsidP="00AD621B">
      <w:pPr>
        <w:jc w:val="both"/>
        <w:rPr>
          <w:rFonts w:ascii="Arial" w:hAnsi="Arial" w:cs="Arial"/>
          <w:sz w:val="28"/>
        </w:rPr>
      </w:pPr>
      <w:r w:rsidRPr="00796E56">
        <w:rPr>
          <w:rFonts w:ascii="Arial" w:hAnsi="Arial" w:cs="Arial"/>
          <w:sz w:val="28"/>
        </w:rPr>
        <w:t>Según qué tan fuerte te de la enfermedad, puede durar entre 2 y 6 semanas.</w:t>
      </w:r>
    </w:p>
    <w:p w:rsidR="002135ED" w:rsidRPr="00796E56" w:rsidRDefault="002135ED" w:rsidP="00AD621B">
      <w:pPr>
        <w:jc w:val="both"/>
        <w:rPr>
          <w:rFonts w:ascii="Arial" w:hAnsi="Arial" w:cs="Arial"/>
          <w:b/>
          <w:sz w:val="28"/>
        </w:rPr>
      </w:pPr>
      <w:r w:rsidRPr="00796E56">
        <w:rPr>
          <w:rFonts w:ascii="Arial" w:hAnsi="Arial" w:cs="Arial"/>
          <w:b/>
          <w:sz w:val="28"/>
        </w:rPr>
        <w:t>¿Los cubrebocas funcionan?</w:t>
      </w:r>
    </w:p>
    <w:p w:rsidR="002135ED" w:rsidRPr="00796E56" w:rsidRDefault="00182FB8" w:rsidP="00AD621B">
      <w:pPr>
        <w:jc w:val="both"/>
        <w:rPr>
          <w:rFonts w:ascii="Arial" w:hAnsi="Arial" w:cs="Arial"/>
          <w:sz w:val="28"/>
        </w:rPr>
      </w:pPr>
      <w:r w:rsidRPr="00796E56">
        <w:rPr>
          <w:rFonts w:ascii="Arial" w:hAnsi="Arial" w:cs="Arial"/>
          <w:sz w:val="28"/>
        </w:rPr>
        <w:t xml:space="preserve">El cubrebocas que es este elemento de tela azul, que tiene espacios por los que se puede respirar, no sirve. El Centro para el control de enfermedades de Atlanta no asegura que el tapabocas sirva.  </w:t>
      </w:r>
    </w:p>
    <w:p w:rsidR="005625F0" w:rsidRPr="00796E56" w:rsidRDefault="00182FB8" w:rsidP="00AD621B">
      <w:pPr>
        <w:jc w:val="both"/>
        <w:rPr>
          <w:rFonts w:ascii="Arial" w:hAnsi="Arial" w:cs="Arial"/>
          <w:b/>
          <w:sz w:val="28"/>
        </w:rPr>
      </w:pPr>
      <w:r w:rsidRPr="00796E56">
        <w:rPr>
          <w:rFonts w:ascii="Arial" w:hAnsi="Arial" w:cs="Arial"/>
          <w:b/>
          <w:sz w:val="28"/>
        </w:rPr>
        <w:t>¿Quiénes son más vulnerables?</w:t>
      </w:r>
    </w:p>
    <w:p w:rsidR="005625F0" w:rsidRPr="00796E56" w:rsidRDefault="005625F0" w:rsidP="00AD621B">
      <w:pPr>
        <w:jc w:val="both"/>
        <w:rPr>
          <w:rFonts w:ascii="Arial" w:hAnsi="Arial" w:cs="Arial"/>
          <w:sz w:val="28"/>
        </w:rPr>
      </w:pPr>
      <w:r w:rsidRPr="00796E56">
        <w:rPr>
          <w:rFonts w:ascii="Arial" w:hAnsi="Arial" w:cs="Arial"/>
          <w:sz w:val="28"/>
        </w:rPr>
        <w:t>Por lo que sabemos hasta ahora, incluiría a varones mayores de 60 años con patologías crónicas sobre todo de tipo cardiovascular, o bien con factores de riesgo cardiovascular, como son hipertensos, diabéticos y fumadores, y también el riesgo sería mayor en personas con cáncer o con problemas respiratorios crónicos.</w:t>
      </w:r>
    </w:p>
    <w:p w:rsidR="00796E56" w:rsidRPr="00796E56" w:rsidRDefault="005625F0" w:rsidP="00AD621B">
      <w:pPr>
        <w:jc w:val="both"/>
        <w:rPr>
          <w:rFonts w:ascii="Arial" w:hAnsi="Arial" w:cs="Arial"/>
          <w:sz w:val="28"/>
        </w:rPr>
      </w:pPr>
      <w:r w:rsidRPr="00796E56">
        <w:rPr>
          <w:rFonts w:ascii="Arial" w:hAnsi="Arial" w:cs="Arial"/>
          <w:sz w:val="28"/>
        </w:rPr>
        <w:t xml:space="preserve">En las mujeres el cromosoma X y las hormonas femeninas podrían ejercer un efecto protector contra la infección y explicar por qué los hombres se infectan más y mueren más, aunque el pronóstico depende </w:t>
      </w:r>
      <w:r w:rsidRPr="00796E56">
        <w:rPr>
          <w:rFonts w:ascii="Arial" w:hAnsi="Arial" w:cs="Arial"/>
          <w:sz w:val="28"/>
        </w:rPr>
        <w:lastRenderedPageBreak/>
        <w:t>sobre todo del número de enfermedades presentes previamente, lo que se conoce como comorbilidades.</w:t>
      </w:r>
    </w:p>
    <w:p w:rsidR="00796E56" w:rsidRPr="00796E56" w:rsidRDefault="00796E56" w:rsidP="00AD621B">
      <w:pPr>
        <w:jc w:val="both"/>
        <w:rPr>
          <w:rFonts w:ascii="Arial" w:hAnsi="Arial" w:cs="Arial"/>
          <w:b/>
          <w:sz w:val="28"/>
        </w:rPr>
      </w:pPr>
      <w:r w:rsidRPr="00796E56">
        <w:rPr>
          <w:rFonts w:ascii="Arial" w:hAnsi="Arial" w:cs="Arial"/>
          <w:b/>
          <w:sz w:val="28"/>
        </w:rPr>
        <w:t>¿Cuándo aparecen los sintomas?</w:t>
      </w:r>
    </w:p>
    <w:p w:rsidR="00796E56" w:rsidRPr="00796E56" w:rsidRDefault="00796E56" w:rsidP="00AD621B">
      <w:pPr>
        <w:jc w:val="both"/>
        <w:rPr>
          <w:rFonts w:ascii="Arial" w:hAnsi="Arial" w:cs="Arial"/>
          <w:sz w:val="28"/>
        </w:rPr>
      </w:pPr>
      <w:r w:rsidRPr="00796E56">
        <w:rPr>
          <w:rFonts w:ascii="Arial" w:hAnsi="Arial" w:cs="Arial"/>
          <w:sz w:val="28"/>
        </w:rPr>
        <w:t>Los síntomas aparecen entre (2) dos y (14) catorce días, con un promedio de (5) cinco días después de la exposición al virus.</w:t>
      </w:r>
    </w:p>
    <w:p w:rsidR="00182FB8" w:rsidRPr="00796E56" w:rsidRDefault="00796E56" w:rsidP="00AD621B">
      <w:pPr>
        <w:jc w:val="both"/>
        <w:rPr>
          <w:rFonts w:ascii="Arial" w:hAnsi="Arial" w:cs="Arial"/>
          <w:b/>
          <w:sz w:val="28"/>
        </w:rPr>
      </w:pPr>
      <w:r w:rsidRPr="00796E56">
        <w:rPr>
          <w:rFonts w:ascii="Arial" w:hAnsi="Arial" w:cs="Arial"/>
          <w:b/>
          <w:sz w:val="28"/>
        </w:rPr>
        <w:t>¿Qué</w:t>
      </w:r>
      <w:r w:rsidR="00182FB8" w:rsidRPr="00796E56">
        <w:rPr>
          <w:rFonts w:ascii="Arial" w:hAnsi="Arial" w:cs="Arial"/>
          <w:b/>
          <w:sz w:val="28"/>
        </w:rPr>
        <w:t xml:space="preserve"> son los coronavirus</w:t>
      </w:r>
      <w:r w:rsidRPr="00796E56">
        <w:rPr>
          <w:rFonts w:ascii="Arial" w:hAnsi="Arial" w:cs="Arial"/>
          <w:b/>
          <w:sz w:val="28"/>
        </w:rPr>
        <w:t>?</w:t>
      </w:r>
    </w:p>
    <w:p w:rsidR="00182FB8" w:rsidRPr="00796E56" w:rsidRDefault="00182FB8" w:rsidP="00AD621B">
      <w:pPr>
        <w:jc w:val="both"/>
        <w:rPr>
          <w:rFonts w:ascii="Arial" w:hAnsi="Arial" w:cs="Arial"/>
          <w:sz w:val="28"/>
        </w:rPr>
      </w:pPr>
      <w:r w:rsidRPr="00796E56">
        <w:rPr>
          <w:rFonts w:ascii="Arial" w:hAnsi="Arial" w:cs="Arial"/>
          <w:sz w:val="28"/>
        </w:rPr>
        <w:t>Son un grupo de virus de la clase IV (según la clasificación de Baltimore) con genoma compuesto por una sola hebra de ARN sentido positivo. Son virus rodeados por una envoltura con proteínas que se proyectan hacia el exterior. Se denomina coronavirus por su aspecto en las imágenes de microscopio electrónico, un virus rodeado por una "corona" de pétalos.</w:t>
      </w:r>
    </w:p>
    <w:p w:rsidR="00182FB8" w:rsidRPr="00796E56" w:rsidRDefault="00796E56" w:rsidP="00AD621B">
      <w:pPr>
        <w:jc w:val="both"/>
        <w:rPr>
          <w:rFonts w:ascii="Arial" w:hAnsi="Arial" w:cs="Arial"/>
          <w:b/>
          <w:sz w:val="28"/>
        </w:rPr>
      </w:pPr>
      <w:r w:rsidRPr="00796E56">
        <w:rPr>
          <w:rFonts w:ascii="Arial" w:hAnsi="Arial" w:cs="Arial"/>
          <w:b/>
          <w:sz w:val="28"/>
        </w:rPr>
        <w:t>¿Cuáles</w:t>
      </w:r>
      <w:r w:rsidR="00182FB8" w:rsidRPr="00796E56">
        <w:rPr>
          <w:rFonts w:ascii="Arial" w:hAnsi="Arial" w:cs="Arial"/>
          <w:b/>
          <w:sz w:val="28"/>
        </w:rPr>
        <w:t xml:space="preserve"> son los tipos de coronavirus</w:t>
      </w:r>
      <w:r w:rsidRPr="00796E56">
        <w:rPr>
          <w:rFonts w:ascii="Arial" w:hAnsi="Arial" w:cs="Arial"/>
          <w:b/>
          <w:sz w:val="28"/>
        </w:rPr>
        <w:t>?</w:t>
      </w:r>
    </w:p>
    <w:p w:rsidR="00182FB8" w:rsidRPr="00796E56" w:rsidRDefault="00182FB8" w:rsidP="00AD621B">
      <w:pPr>
        <w:jc w:val="both"/>
        <w:rPr>
          <w:rFonts w:ascii="Arial" w:hAnsi="Arial" w:cs="Arial"/>
          <w:sz w:val="28"/>
        </w:rPr>
      </w:pPr>
      <w:r w:rsidRPr="00796E56">
        <w:rPr>
          <w:rFonts w:ascii="Arial" w:hAnsi="Arial" w:cs="Arial"/>
          <w:sz w:val="28"/>
        </w:rPr>
        <w:t>Hasta ahora existen 3 tipos de coronavirus, los cuales son:</w:t>
      </w:r>
    </w:p>
    <w:p w:rsidR="00182FB8" w:rsidRPr="00796E56" w:rsidRDefault="00182FB8" w:rsidP="00AD621B">
      <w:pPr>
        <w:jc w:val="both"/>
        <w:rPr>
          <w:rFonts w:ascii="Arial" w:hAnsi="Arial" w:cs="Arial"/>
          <w:sz w:val="28"/>
        </w:rPr>
      </w:pPr>
      <w:r w:rsidRPr="00796E56">
        <w:rPr>
          <w:rFonts w:ascii="Arial" w:hAnsi="Arial" w:cs="Arial"/>
          <w:sz w:val="28"/>
        </w:rPr>
        <w:t>SARS: Síndrome Respiratorio Agudo y Severo</w:t>
      </w:r>
    </w:p>
    <w:p w:rsidR="00182FB8" w:rsidRPr="00796E56" w:rsidRDefault="00182FB8" w:rsidP="00AD621B">
      <w:pPr>
        <w:jc w:val="both"/>
        <w:rPr>
          <w:rFonts w:ascii="Arial" w:hAnsi="Arial" w:cs="Arial"/>
          <w:sz w:val="28"/>
        </w:rPr>
      </w:pPr>
      <w:r w:rsidRPr="00796E56">
        <w:rPr>
          <w:rFonts w:ascii="Arial" w:hAnsi="Arial" w:cs="Arial"/>
          <w:sz w:val="28"/>
        </w:rPr>
        <w:t>MERS Síndrome Respiratorio del Oriente Medio</w:t>
      </w:r>
    </w:p>
    <w:p w:rsidR="00182FB8" w:rsidRPr="00796E56" w:rsidRDefault="00182FB8" w:rsidP="00AD621B">
      <w:pPr>
        <w:jc w:val="both"/>
        <w:rPr>
          <w:rFonts w:ascii="Arial" w:hAnsi="Arial" w:cs="Arial"/>
          <w:sz w:val="28"/>
        </w:rPr>
      </w:pPr>
      <w:r w:rsidRPr="00796E56">
        <w:rPr>
          <w:rFonts w:ascii="Arial" w:hAnsi="Arial" w:cs="Arial"/>
          <w:sz w:val="28"/>
        </w:rPr>
        <w:t>COVID-19</w:t>
      </w:r>
    </w:p>
    <w:p w:rsidR="00796E56" w:rsidRPr="00AD621B" w:rsidRDefault="00796E56" w:rsidP="00AD621B">
      <w:pPr>
        <w:jc w:val="both"/>
        <w:rPr>
          <w:rFonts w:ascii="Arial" w:hAnsi="Arial" w:cs="Arial"/>
          <w:b/>
          <w:sz w:val="28"/>
        </w:rPr>
      </w:pPr>
      <w:r w:rsidRPr="00AD621B">
        <w:rPr>
          <w:rFonts w:ascii="Arial" w:hAnsi="Arial" w:cs="Arial"/>
          <w:b/>
          <w:sz w:val="28"/>
        </w:rPr>
        <w:t>¿Cuál es la tasa de mortalidad por este tipo de virus?</w:t>
      </w:r>
    </w:p>
    <w:p w:rsidR="00796E56" w:rsidRPr="00796E56" w:rsidRDefault="00796E56" w:rsidP="00796E56">
      <w:pPr>
        <w:spacing w:after="0" w:line="334" w:lineRule="atLeast"/>
        <w:outlineLvl w:val="3"/>
        <w:rPr>
          <w:rFonts w:ascii="Arial" w:eastAsia="Times New Roman" w:hAnsi="Arial" w:cs="Arial"/>
          <w:b/>
          <w:bCs/>
          <w:color w:val="000000"/>
          <w:sz w:val="24"/>
          <w:szCs w:val="21"/>
          <w:lang w:eastAsia="es-PA"/>
        </w:rPr>
      </w:pPr>
      <w:r w:rsidRPr="00796E56">
        <w:rPr>
          <w:rFonts w:ascii="Arial" w:eastAsia="Times New Roman" w:hAnsi="Arial" w:cs="Arial"/>
          <w:b/>
          <w:bCs/>
          <w:color w:val="000000"/>
          <w:sz w:val="24"/>
          <w:szCs w:val="21"/>
          <w:lang w:eastAsia="es-PA"/>
        </w:rPr>
        <w:t>Tasa de mortalidad por edad</w:t>
      </w:r>
    </w:p>
    <w:tbl>
      <w:tblPr>
        <w:tblW w:w="0" w:type="auto"/>
        <w:tblBorders>
          <w:top w:val="single" w:sz="2" w:space="0" w:color="A2A9B1"/>
          <w:left w:val="single" w:sz="2" w:space="0" w:color="A2A9B1"/>
          <w:bottom w:val="single" w:sz="2" w:space="0" w:color="A2A9B1"/>
          <w:right w:val="single" w:sz="2"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23"/>
        <w:gridCol w:w="1396"/>
      </w:tblGrid>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EAECF0"/>
            <w:tcMar>
              <w:top w:w="42" w:type="dxa"/>
              <w:left w:w="84" w:type="dxa"/>
              <w:bottom w:w="42" w:type="dxa"/>
              <w:right w:w="84" w:type="dxa"/>
            </w:tcMar>
            <w:vAlign w:val="center"/>
            <w:hideMark/>
          </w:tcPr>
          <w:p w:rsidR="00796E56" w:rsidRPr="00796E56" w:rsidRDefault="00796E56" w:rsidP="00796E56">
            <w:pPr>
              <w:spacing w:after="0" w:line="240" w:lineRule="auto"/>
              <w:jc w:val="center"/>
              <w:rPr>
                <w:rFonts w:ascii="Arial" w:eastAsia="Times New Roman" w:hAnsi="Arial" w:cs="Arial"/>
                <w:b/>
                <w:bCs/>
                <w:color w:val="222222"/>
                <w:sz w:val="24"/>
                <w:szCs w:val="21"/>
                <w:lang w:eastAsia="es-PA"/>
              </w:rPr>
            </w:pPr>
            <w:r w:rsidRPr="00796E56">
              <w:rPr>
                <w:rFonts w:ascii="Arial" w:eastAsia="Times New Roman" w:hAnsi="Arial" w:cs="Arial"/>
                <w:b/>
                <w:bCs/>
                <w:color w:val="222222"/>
                <w:sz w:val="24"/>
                <w:szCs w:val="21"/>
                <w:lang w:eastAsia="es-PA"/>
              </w:rPr>
              <w:t xml:space="preserve">Edades </w:t>
            </w:r>
          </w:p>
          <w:p w:rsidR="00796E56" w:rsidRPr="00796E56" w:rsidRDefault="00796E56" w:rsidP="00796E56">
            <w:pPr>
              <w:spacing w:before="104" w:after="104" w:line="240" w:lineRule="auto"/>
              <w:jc w:val="center"/>
              <w:rPr>
                <w:rFonts w:ascii="Arial" w:eastAsia="Times New Roman" w:hAnsi="Arial" w:cs="Arial"/>
                <w:b/>
                <w:bCs/>
                <w:color w:val="222222"/>
                <w:sz w:val="24"/>
                <w:szCs w:val="21"/>
                <w:lang w:eastAsia="es-PA"/>
              </w:rPr>
            </w:pPr>
            <w:r w:rsidRPr="00796E56">
              <w:rPr>
                <w:rFonts w:ascii="Arial" w:eastAsia="Times New Roman" w:hAnsi="Arial" w:cs="Arial"/>
                <w:b/>
                <w:bCs/>
                <w:color w:val="222222"/>
                <w:sz w:val="24"/>
                <w:szCs w:val="21"/>
                <w:lang w:eastAsia="es-PA"/>
              </w:rPr>
              <w:t xml:space="preserve">(Años) </w:t>
            </w:r>
          </w:p>
        </w:tc>
        <w:tc>
          <w:tcPr>
            <w:tcW w:w="0" w:type="auto"/>
            <w:tcBorders>
              <w:top w:val="single" w:sz="2" w:space="0" w:color="A2A9B1"/>
              <w:left w:val="single" w:sz="2" w:space="0" w:color="A2A9B1"/>
              <w:bottom w:val="single" w:sz="2" w:space="0" w:color="A2A9B1"/>
              <w:right w:val="single" w:sz="2" w:space="0" w:color="A2A9B1"/>
            </w:tcBorders>
            <w:shd w:val="clear" w:color="auto" w:fill="EAECF0"/>
            <w:tcMar>
              <w:top w:w="42" w:type="dxa"/>
              <w:left w:w="84" w:type="dxa"/>
              <w:bottom w:w="42" w:type="dxa"/>
              <w:right w:w="84" w:type="dxa"/>
            </w:tcMar>
            <w:vAlign w:val="center"/>
            <w:hideMark/>
          </w:tcPr>
          <w:p w:rsidR="00796E56" w:rsidRPr="00796E56" w:rsidRDefault="00796E56" w:rsidP="00796E56">
            <w:pPr>
              <w:spacing w:after="0" w:line="240" w:lineRule="auto"/>
              <w:jc w:val="center"/>
              <w:rPr>
                <w:rFonts w:ascii="Arial" w:eastAsia="Times New Roman" w:hAnsi="Arial" w:cs="Arial"/>
                <w:b/>
                <w:bCs/>
                <w:color w:val="222222"/>
                <w:sz w:val="24"/>
                <w:szCs w:val="21"/>
                <w:lang w:eastAsia="es-PA"/>
              </w:rPr>
            </w:pPr>
            <w:r w:rsidRPr="00796E56">
              <w:rPr>
                <w:rFonts w:ascii="Arial" w:eastAsia="Times New Roman" w:hAnsi="Arial" w:cs="Arial"/>
                <w:b/>
                <w:bCs/>
                <w:color w:val="222222"/>
                <w:sz w:val="24"/>
                <w:szCs w:val="21"/>
                <w:lang w:eastAsia="es-PA"/>
              </w:rPr>
              <w:t xml:space="preserve">Porcentaje </w:t>
            </w:r>
          </w:p>
        </w:tc>
      </w:tr>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0–9 </w:t>
            </w:r>
          </w:p>
        </w:tc>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 </w:t>
            </w:r>
          </w:p>
        </w:tc>
      </w:tr>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10–19 </w:t>
            </w:r>
          </w:p>
        </w:tc>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0,2% </w:t>
            </w:r>
          </w:p>
        </w:tc>
      </w:tr>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20–29 </w:t>
            </w:r>
          </w:p>
        </w:tc>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0,2% </w:t>
            </w:r>
          </w:p>
        </w:tc>
      </w:tr>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30–39 </w:t>
            </w:r>
          </w:p>
        </w:tc>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0,2% </w:t>
            </w:r>
          </w:p>
        </w:tc>
      </w:tr>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40–49 </w:t>
            </w:r>
          </w:p>
        </w:tc>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0,4% </w:t>
            </w:r>
          </w:p>
        </w:tc>
      </w:tr>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50–59 </w:t>
            </w:r>
          </w:p>
        </w:tc>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1,3% </w:t>
            </w:r>
          </w:p>
        </w:tc>
      </w:tr>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60–69 </w:t>
            </w:r>
          </w:p>
        </w:tc>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3,6% </w:t>
            </w:r>
          </w:p>
        </w:tc>
      </w:tr>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70–79 </w:t>
            </w:r>
          </w:p>
        </w:tc>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8,0% </w:t>
            </w:r>
          </w:p>
        </w:tc>
      </w:tr>
      <w:tr w:rsidR="00796E56" w:rsidRPr="00796E56" w:rsidTr="00796E56">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80 o mayores </w:t>
            </w:r>
          </w:p>
        </w:tc>
        <w:tc>
          <w:tcPr>
            <w:tcW w:w="0" w:type="auto"/>
            <w:tcBorders>
              <w:top w:val="single" w:sz="2" w:space="0" w:color="A2A9B1"/>
              <w:left w:val="single" w:sz="2" w:space="0" w:color="A2A9B1"/>
              <w:bottom w:val="single" w:sz="2" w:space="0" w:color="A2A9B1"/>
              <w:right w:val="single" w:sz="2" w:space="0" w:color="A2A9B1"/>
            </w:tcBorders>
            <w:shd w:val="clear" w:color="auto" w:fill="auto"/>
            <w:tcMar>
              <w:top w:w="42" w:type="dxa"/>
              <w:left w:w="84" w:type="dxa"/>
              <w:bottom w:w="42" w:type="dxa"/>
              <w:right w:w="84" w:type="dxa"/>
            </w:tcMar>
            <w:vAlign w:val="center"/>
            <w:hideMark/>
          </w:tcPr>
          <w:p w:rsidR="00796E56" w:rsidRPr="00796E56" w:rsidRDefault="00796E56" w:rsidP="00796E56">
            <w:pPr>
              <w:spacing w:after="0" w:line="240" w:lineRule="auto"/>
              <w:rPr>
                <w:rFonts w:ascii="Arial" w:eastAsia="Times New Roman" w:hAnsi="Arial" w:cs="Arial"/>
                <w:color w:val="222222"/>
                <w:sz w:val="24"/>
                <w:szCs w:val="21"/>
                <w:lang w:eastAsia="es-PA"/>
              </w:rPr>
            </w:pPr>
            <w:r w:rsidRPr="00796E56">
              <w:rPr>
                <w:rFonts w:ascii="Arial" w:eastAsia="Times New Roman" w:hAnsi="Arial" w:cs="Arial"/>
                <w:color w:val="222222"/>
                <w:sz w:val="24"/>
                <w:szCs w:val="21"/>
                <w:lang w:eastAsia="es-PA"/>
              </w:rPr>
              <w:t xml:space="preserve">14,8% </w:t>
            </w:r>
          </w:p>
        </w:tc>
      </w:tr>
    </w:tbl>
    <w:p w:rsidR="00182FB8" w:rsidRPr="00796E56" w:rsidRDefault="00182FB8" w:rsidP="005625F0">
      <w:pPr>
        <w:rPr>
          <w:rFonts w:ascii="Arial" w:hAnsi="Arial" w:cs="Arial"/>
          <w:sz w:val="28"/>
        </w:rPr>
      </w:pPr>
    </w:p>
    <w:p w:rsidR="00796E56" w:rsidRPr="00AD621B" w:rsidRDefault="00796E56" w:rsidP="005625F0">
      <w:pPr>
        <w:rPr>
          <w:rFonts w:ascii="Arial" w:hAnsi="Arial" w:cs="Arial"/>
          <w:b/>
          <w:sz w:val="32"/>
        </w:rPr>
      </w:pPr>
      <w:r w:rsidRPr="00AD621B">
        <w:rPr>
          <w:rFonts w:ascii="Arial" w:hAnsi="Arial" w:cs="Arial"/>
          <w:b/>
          <w:sz w:val="32"/>
        </w:rPr>
        <w:lastRenderedPageBreak/>
        <w:t>Estructura del Virus:</w:t>
      </w:r>
    </w:p>
    <w:p w:rsidR="00182FB8" w:rsidRDefault="00182FB8" w:rsidP="005625F0">
      <w:r w:rsidRPr="00182FB8">
        <w:drawing>
          <wp:inline distT="0" distB="0" distL="0" distR="0">
            <wp:extent cx="6005029" cy="430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14" cy="4306795"/>
                    </a:xfrm>
                    <a:prstGeom prst="rect">
                      <a:avLst/>
                    </a:prstGeom>
                    <a:noFill/>
                    <a:ln>
                      <a:noFill/>
                    </a:ln>
                  </pic:spPr>
                </pic:pic>
              </a:graphicData>
            </a:graphic>
          </wp:inline>
        </w:drawing>
      </w:r>
    </w:p>
    <w:p w:rsidR="00796E56" w:rsidRDefault="00796E56" w:rsidP="00796E56"/>
    <w:p w:rsidR="00AD621B" w:rsidRDefault="00AD621B" w:rsidP="00796E56">
      <w:pPr>
        <w:rPr>
          <w:rFonts w:ascii="Arial" w:hAnsi="Arial" w:cs="Arial"/>
          <w:b/>
          <w:sz w:val="24"/>
        </w:rPr>
      </w:pPr>
      <w:bookmarkStart w:id="0" w:name="_GoBack"/>
      <w:bookmarkEnd w:id="0"/>
    </w:p>
    <w:p w:rsidR="00AD621B" w:rsidRDefault="00AD621B" w:rsidP="00796E56">
      <w:pPr>
        <w:rPr>
          <w:rFonts w:ascii="Arial" w:hAnsi="Arial" w:cs="Arial"/>
          <w:b/>
          <w:sz w:val="24"/>
        </w:rPr>
      </w:pPr>
    </w:p>
    <w:p w:rsidR="00AD621B" w:rsidRDefault="00AD621B" w:rsidP="00796E56">
      <w:pPr>
        <w:rPr>
          <w:rFonts w:ascii="Arial" w:hAnsi="Arial" w:cs="Arial"/>
          <w:b/>
          <w:sz w:val="24"/>
        </w:rPr>
      </w:pPr>
    </w:p>
    <w:p w:rsidR="00AD621B" w:rsidRDefault="00AD621B" w:rsidP="00796E56">
      <w:pPr>
        <w:rPr>
          <w:rFonts w:ascii="Arial" w:hAnsi="Arial" w:cs="Arial"/>
          <w:b/>
          <w:sz w:val="24"/>
        </w:rPr>
      </w:pPr>
    </w:p>
    <w:p w:rsidR="00AD621B" w:rsidRDefault="00AD621B" w:rsidP="00796E56">
      <w:pPr>
        <w:rPr>
          <w:rFonts w:ascii="Arial" w:hAnsi="Arial" w:cs="Arial"/>
          <w:b/>
          <w:sz w:val="24"/>
        </w:rPr>
      </w:pPr>
    </w:p>
    <w:p w:rsidR="00AD621B" w:rsidRDefault="00AD621B" w:rsidP="00796E56">
      <w:pPr>
        <w:rPr>
          <w:rFonts w:ascii="Arial" w:hAnsi="Arial" w:cs="Arial"/>
          <w:b/>
          <w:sz w:val="24"/>
        </w:rPr>
      </w:pPr>
    </w:p>
    <w:p w:rsidR="00AD621B" w:rsidRDefault="00AD621B" w:rsidP="00796E56">
      <w:pPr>
        <w:rPr>
          <w:rFonts w:ascii="Arial" w:hAnsi="Arial" w:cs="Arial"/>
          <w:b/>
          <w:sz w:val="24"/>
        </w:rPr>
      </w:pPr>
    </w:p>
    <w:p w:rsidR="00AD621B" w:rsidRDefault="00AD621B" w:rsidP="00796E56">
      <w:pPr>
        <w:rPr>
          <w:rFonts w:ascii="Arial" w:hAnsi="Arial" w:cs="Arial"/>
          <w:b/>
          <w:sz w:val="24"/>
        </w:rPr>
      </w:pPr>
    </w:p>
    <w:p w:rsidR="00AD621B" w:rsidRDefault="00AD621B" w:rsidP="00796E56">
      <w:pPr>
        <w:rPr>
          <w:rFonts w:ascii="Arial" w:hAnsi="Arial" w:cs="Arial"/>
          <w:b/>
          <w:sz w:val="24"/>
        </w:rPr>
      </w:pPr>
    </w:p>
    <w:p w:rsidR="00AD621B" w:rsidRDefault="00AD621B" w:rsidP="00796E56">
      <w:pPr>
        <w:rPr>
          <w:rFonts w:ascii="Arial" w:hAnsi="Arial" w:cs="Arial"/>
          <w:b/>
          <w:sz w:val="24"/>
        </w:rPr>
      </w:pPr>
    </w:p>
    <w:p w:rsidR="00AD621B" w:rsidRDefault="00AD621B" w:rsidP="00796E56">
      <w:pPr>
        <w:rPr>
          <w:rFonts w:ascii="Arial" w:hAnsi="Arial" w:cs="Arial"/>
          <w:b/>
          <w:sz w:val="24"/>
        </w:rPr>
      </w:pPr>
    </w:p>
    <w:p w:rsidR="00796E56" w:rsidRPr="00AD621B" w:rsidRDefault="00796E56" w:rsidP="00796E56">
      <w:pPr>
        <w:rPr>
          <w:rFonts w:ascii="Arial" w:hAnsi="Arial" w:cs="Arial"/>
          <w:b/>
          <w:sz w:val="24"/>
        </w:rPr>
      </w:pPr>
      <w:r w:rsidRPr="00AD621B">
        <w:rPr>
          <w:rFonts w:ascii="Arial" w:hAnsi="Arial" w:cs="Arial"/>
          <w:b/>
          <w:sz w:val="24"/>
        </w:rPr>
        <w:lastRenderedPageBreak/>
        <w:t>Referencias:</w:t>
      </w:r>
    </w:p>
    <w:p w:rsidR="00796E56" w:rsidRPr="00796E56" w:rsidRDefault="00796E56" w:rsidP="00796E56">
      <w:pPr>
        <w:numPr>
          <w:ilvl w:val="1"/>
          <w:numId w:val="1"/>
        </w:numPr>
        <w:jc w:val="both"/>
      </w:pPr>
      <w:hyperlink r:id="rId6" w:history="1">
        <w:r w:rsidRPr="00796E56">
          <w:rPr>
            <w:rStyle w:val="Hipervnculo"/>
          </w:rPr>
          <w:t>«Enfermedad por nuevo coronavirus, COVID-19. Información para la ciudadanía»</w:t>
        </w:r>
      </w:hyperlink>
      <w:r w:rsidRPr="00796E56">
        <w:t xml:space="preserve">. </w:t>
      </w:r>
      <w:hyperlink r:id="rId7" w:tooltip="Ministerio de Sanidad (España)" w:history="1">
        <w:r w:rsidRPr="00796E56">
          <w:rPr>
            <w:rStyle w:val="Hipervnculo"/>
          </w:rPr>
          <w:t>Ministerio de Sanidad (España)</w:t>
        </w:r>
      </w:hyperlink>
      <w:r w:rsidRPr="00796E56">
        <w:t xml:space="preserve">. Consultado el 4 de marzo de 2020. </w:t>
      </w:r>
    </w:p>
    <w:p w:rsidR="00796E56" w:rsidRPr="00796E56" w:rsidRDefault="00796E56" w:rsidP="00796E56">
      <w:pPr>
        <w:numPr>
          <w:ilvl w:val="1"/>
          <w:numId w:val="1"/>
        </w:numPr>
        <w:jc w:val="both"/>
      </w:pPr>
      <w:r w:rsidRPr="00796E56">
        <w:t xml:space="preserve"> </w:t>
      </w:r>
      <w:hyperlink r:id="rId8" w:anchor="cite_ref-Fundéu_3-0" w:history="1">
        <w:r w:rsidRPr="00796E56">
          <w:rPr>
            <w:rStyle w:val="Hipervnculo"/>
          </w:rPr>
          <w:t xml:space="preserve">Saltar a: </w:t>
        </w:r>
        <w:r w:rsidRPr="00796E56">
          <w:rPr>
            <w:rStyle w:val="Hipervnculo"/>
            <w:b/>
            <w:bCs/>
            <w:i/>
            <w:iCs/>
            <w:vertAlign w:val="superscript"/>
          </w:rPr>
          <w:t>a</w:t>
        </w:r>
      </w:hyperlink>
      <w:r w:rsidRPr="00796E56">
        <w:t xml:space="preserve"> </w:t>
      </w:r>
      <w:hyperlink r:id="rId9" w:anchor="cite_ref-Fundéu_3-1" w:history="1">
        <w:r w:rsidRPr="00796E56">
          <w:rPr>
            <w:rStyle w:val="Hipervnculo"/>
            <w:b/>
            <w:bCs/>
            <w:i/>
            <w:iCs/>
            <w:vertAlign w:val="superscript"/>
          </w:rPr>
          <w:t>b</w:t>
        </w:r>
      </w:hyperlink>
      <w:r w:rsidRPr="00796E56">
        <w:t xml:space="preserve"> </w:t>
      </w:r>
      <w:hyperlink r:id="rId10" w:anchor="cite_ref-Fundéu_3-2" w:history="1">
        <w:r w:rsidRPr="00796E56">
          <w:rPr>
            <w:rStyle w:val="Hipervnculo"/>
            <w:b/>
            <w:bCs/>
            <w:i/>
            <w:iCs/>
            <w:vertAlign w:val="superscript"/>
          </w:rPr>
          <w:t>c</w:t>
        </w:r>
      </w:hyperlink>
      <w:r w:rsidRPr="00796E56">
        <w:t xml:space="preserve"> </w:t>
      </w:r>
      <w:hyperlink r:id="rId11" w:history="1">
        <w:r w:rsidRPr="00796E56">
          <w:rPr>
            <w:rStyle w:val="Hipervnculo"/>
          </w:rPr>
          <w:t>«coronavirus, claves de escritura»</w:t>
        </w:r>
      </w:hyperlink>
      <w:r w:rsidRPr="00796E56">
        <w:t xml:space="preserve">. </w:t>
      </w:r>
      <w:hyperlink r:id="rId12" w:tooltip="Fundéu BBVA" w:history="1">
        <w:proofErr w:type="spellStart"/>
        <w:r w:rsidRPr="00796E56">
          <w:rPr>
            <w:rStyle w:val="Hipervnculo"/>
          </w:rPr>
          <w:t>Fundéu</w:t>
        </w:r>
        <w:proofErr w:type="spellEnd"/>
        <w:r w:rsidRPr="00796E56">
          <w:rPr>
            <w:rStyle w:val="Hipervnculo"/>
          </w:rPr>
          <w:t xml:space="preserve"> BBVA</w:t>
        </w:r>
      </w:hyperlink>
      <w:r w:rsidRPr="00796E56">
        <w:t xml:space="preserve">. 29 de enero de 2020. </w:t>
      </w:r>
    </w:p>
    <w:p w:rsidR="00796E56" w:rsidRPr="00796E56" w:rsidRDefault="00796E56" w:rsidP="00796E56">
      <w:pPr>
        <w:numPr>
          <w:ilvl w:val="1"/>
          <w:numId w:val="1"/>
        </w:numPr>
        <w:jc w:val="both"/>
      </w:pPr>
      <w:hyperlink r:id="rId13" w:history="1">
        <w:r w:rsidRPr="00796E56">
          <w:rPr>
            <w:rStyle w:val="Hipervnculo"/>
          </w:rPr>
          <w:t xml:space="preserve">«WHO </w:t>
        </w:r>
        <w:proofErr w:type="gramStart"/>
        <w:r w:rsidRPr="00796E56">
          <w:rPr>
            <w:rStyle w:val="Hipervnculo"/>
          </w:rPr>
          <w:t>Director</w:t>
        </w:r>
        <w:proofErr w:type="gramEnd"/>
        <w:r w:rsidRPr="00796E56">
          <w:rPr>
            <w:rStyle w:val="Hipervnculo"/>
          </w:rPr>
          <w:t>-</w:t>
        </w:r>
        <w:proofErr w:type="spellStart"/>
        <w:r w:rsidRPr="00796E56">
          <w:rPr>
            <w:rStyle w:val="Hipervnculo"/>
          </w:rPr>
          <w:t>General's</w:t>
        </w:r>
        <w:proofErr w:type="spellEnd"/>
        <w:r w:rsidRPr="00796E56">
          <w:rPr>
            <w:rStyle w:val="Hipervnculo"/>
          </w:rPr>
          <w:t xml:space="preserve"> </w:t>
        </w:r>
        <w:proofErr w:type="spellStart"/>
        <w:r w:rsidRPr="00796E56">
          <w:rPr>
            <w:rStyle w:val="Hipervnculo"/>
          </w:rPr>
          <w:t>remarks</w:t>
        </w:r>
        <w:proofErr w:type="spellEnd"/>
        <w:r w:rsidRPr="00796E56">
          <w:rPr>
            <w:rStyle w:val="Hipervnculo"/>
          </w:rPr>
          <w:t xml:space="preserve"> at the media briefing on 2019-nCoV on 11 </w:t>
        </w:r>
        <w:proofErr w:type="spellStart"/>
        <w:r w:rsidRPr="00796E56">
          <w:rPr>
            <w:rStyle w:val="Hipervnculo"/>
          </w:rPr>
          <w:t>February</w:t>
        </w:r>
        <w:proofErr w:type="spellEnd"/>
        <w:r w:rsidRPr="00796E56">
          <w:rPr>
            <w:rStyle w:val="Hipervnculo"/>
          </w:rPr>
          <w:t xml:space="preserve"> 2020»</w:t>
        </w:r>
      </w:hyperlink>
      <w:r w:rsidRPr="00796E56">
        <w:t xml:space="preserve">. </w:t>
      </w:r>
      <w:r w:rsidRPr="00796E56">
        <w:rPr>
          <w:i/>
          <w:iCs/>
        </w:rPr>
        <w:t xml:space="preserve">who.int </w:t>
      </w:r>
      <w:hyperlink r:id="rId14" w:tooltip="Organización Mundial de la Salud" w:history="1">
        <w:r w:rsidRPr="00796E56">
          <w:rPr>
            <w:rStyle w:val="Hipervnculo"/>
            <w:i/>
            <w:iCs/>
          </w:rPr>
          <w:t>Organización Mundial de la Salud</w:t>
        </w:r>
      </w:hyperlink>
      <w:r w:rsidRPr="00796E56">
        <w:t xml:space="preserve"> (en inglés). 11 de febrero de 2020. Consultado el 11 de febrero de 2020. </w:t>
      </w:r>
    </w:p>
    <w:p w:rsidR="00796E56" w:rsidRPr="00796E56" w:rsidRDefault="00796E56" w:rsidP="00796E56">
      <w:pPr>
        <w:numPr>
          <w:ilvl w:val="1"/>
          <w:numId w:val="1"/>
        </w:numPr>
        <w:jc w:val="both"/>
      </w:pPr>
      <w:hyperlink r:id="rId15" w:history="1">
        <w:r w:rsidRPr="00796E56">
          <w:rPr>
            <w:rStyle w:val="Hipervnculo"/>
          </w:rPr>
          <w:t>«</w:t>
        </w:r>
        <w:proofErr w:type="spellStart"/>
        <w:r w:rsidRPr="00796E56">
          <w:rPr>
            <w:rStyle w:val="Hipervnculo"/>
            <w:rFonts w:ascii="MS Gothic" w:eastAsia="MS Gothic" w:hAnsi="MS Gothic" w:cs="MS Gothic" w:hint="eastAsia"/>
          </w:rPr>
          <w:t>国家</w:t>
        </w:r>
        <w:r w:rsidRPr="00796E56">
          <w:rPr>
            <w:rStyle w:val="Hipervnculo"/>
            <w:rFonts w:ascii="Microsoft JhengHei" w:eastAsia="Microsoft JhengHei" w:hAnsi="Microsoft JhengHei" w:cs="Microsoft JhengHei" w:hint="eastAsia"/>
          </w:rPr>
          <w:t>卫生健康委关于新型冠状病毒肺炎暂命名事宜的通知</w:t>
        </w:r>
        <w:proofErr w:type="spellEnd"/>
        <w:r w:rsidRPr="00796E56">
          <w:rPr>
            <w:rStyle w:val="Hipervnculo"/>
          </w:rPr>
          <w:t>»</w:t>
        </w:r>
      </w:hyperlink>
      <w:r w:rsidRPr="00796E56">
        <w:t xml:space="preserve"> (en chino). 7 de febrero de 2020. Consultado el 9 de febrero de 2020. </w:t>
      </w:r>
    </w:p>
    <w:p w:rsidR="00796E56" w:rsidRPr="00796E56" w:rsidRDefault="00796E56" w:rsidP="00796E56">
      <w:pPr>
        <w:numPr>
          <w:ilvl w:val="1"/>
          <w:numId w:val="1"/>
        </w:numPr>
        <w:jc w:val="both"/>
      </w:pPr>
      <w:hyperlink r:id="rId16" w:history="1">
        <w:r w:rsidRPr="00796E56">
          <w:rPr>
            <w:rStyle w:val="Hipervnculo"/>
          </w:rPr>
          <w:t>«Infecciones por coronavirus»</w:t>
        </w:r>
      </w:hyperlink>
      <w:r w:rsidRPr="00796E56">
        <w:t xml:space="preserve">. </w:t>
      </w:r>
      <w:r w:rsidRPr="00796E56">
        <w:rPr>
          <w:i/>
          <w:iCs/>
        </w:rPr>
        <w:t>Medline Plus</w:t>
      </w:r>
      <w:r w:rsidRPr="00796E56">
        <w:t xml:space="preserve"> (Biblioteca Nacional de Medicina de los Estados Unidos). Consultado el 4 de marzo de 2020. «Muchas de las personas con COVID-19 tienen neumonía en ambos pulmones. [...] Generalmente [los coronavirus] causan infecciones leves a moderadas en las vías respiratorias superiores, como el resfriado común. Pero también pueden causar enfermedades más graves, como bronquitis y neumonía.» </w:t>
      </w:r>
    </w:p>
    <w:p w:rsidR="00796E56" w:rsidRPr="00796E56" w:rsidRDefault="00796E56" w:rsidP="00796E56">
      <w:pPr>
        <w:numPr>
          <w:ilvl w:val="1"/>
          <w:numId w:val="1"/>
        </w:numPr>
        <w:jc w:val="both"/>
      </w:pPr>
      <w:hyperlink r:id="rId17" w:history="1">
        <w:r w:rsidRPr="00796E56">
          <w:rPr>
            <w:rStyle w:val="Hipervnculo"/>
          </w:rPr>
          <w:t>«¿Qué se sabe sobre el coronavirus? Síntomas, diagnóstico, letalidad...»</w:t>
        </w:r>
      </w:hyperlink>
      <w:r w:rsidRPr="00796E56">
        <w:t xml:space="preserve">. </w:t>
      </w:r>
      <w:r w:rsidRPr="00796E56">
        <w:rPr>
          <w:i/>
          <w:iCs/>
        </w:rPr>
        <w:t>El País</w:t>
      </w:r>
      <w:r w:rsidRPr="00796E56">
        <w:t xml:space="preserve">. 27 de febrero de 2020. «El virus infecta las vías respiratorias y causa síntomas que van desde un cuadro leve (tos seca, fiebre...) a insuficiencia respiratoria aguda y neumonías potencialmente mortales. La enfermedad asociada se ha denominado Covid-19». </w:t>
      </w:r>
    </w:p>
    <w:p w:rsidR="00796E56" w:rsidRPr="00796E56" w:rsidRDefault="00796E56" w:rsidP="00796E56">
      <w:pPr>
        <w:numPr>
          <w:ilvl w:val="1"/>
          <w:numId w:val="1"/>
        </w:numPr>
        <w:jc w:val="both"/>
      </w:pPr>
      <w:hyperlink r:id="rId18" w:history="1">
        <w:r w:rsidRPr="00796E56">
          <w:rPr>
            <w:rStyle w:val="Hipervnculo"/>
          </w:rPr>
          <w:t>«¿Cuáles son las diferencias entre el coronavirus y una gripe?»</w:t>
        </w:r>
      </w:hyperlink>
      <w:r w:rsidRPr="00796E56">
        <w:t xml:space="preserve">. </w:t>
      </w:r>
      <w:r w:rsidRPr="00796E56">
        <w:rPr>
          <w:i/>
          <w:iCs/>
        </w:rPr>
        <w:t>The New York Times</w:t>
      </w:r>
      <w:r w:rsidRPr="00796E56">
        <w:t xml:space="preserve">. 2 de marzo de 2020. «La neumonía es común entre los pacientes con coronavirus, incluso entre aquellos cuyos casos no son graves». </w:t>
      </w:r>
    </w:p>
    <w:p w:rsidR="00796E56" w:rsidRDefault="00796E56" w:rsidP="005625F0"/>
    <w:sectPr w:rsidR="00796E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3202D"/>
    <w:multiLevelType w:val="multilevel"/>
    <w:tmpl w:val="0F2EB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ED"/>
    <w:rsid w:val="00182FB8"/>
    <w:rsid w:val="002135ED"/>
    <w:rsid w:val="005625F0"/>
    <w:rsid w:val="00751A8B"/>
    <w:rsid w:val="00796E56"/>
    <w:rsid w:val="00AD621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9304"/>
  <w15:chartTrackingRefBased/>
  <w15:docId w15:val="{7B26DF32-E92E-4369-B25A-D75EDD5E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6E56"/>
    <w:rPr>
      <w:color w:val="0563C1" w:themeColor="hyperlink"/>
      <w:u w:val="single"/>
    </w:rPr>
  </w:style>
  <w:style w:type="character" w:styleId="Mencinsinresolver">
    <w:name w:val="Unresolved Mention"/>
    <w:basedOn w:val="Fuentedeprrafopredeter"/>
    <w:uiPriority w:val="99"/>
    <w:semiHidden/>
    <w:unhideWhenUsed/>
    <w:rsid w:val="00796E56"/>
    <w:rPr>
      <w:color w:val="808080"/>
      <w:shd w:val="clear" w:color="auto" w:fill="E6E6E6"/>
    </w:rPr>
  </w:style>
  <w:style w:type="character" w:styleId="Hipervnculovisitado">
    <w:name w:val="FollowedHyperlink"/>
    <w:basedOn w:val="Fuentedeprrafopredeter"/>
    <w:uiPriority w:val="99"/>
    <w:semiHidden/>
    <w:unhideWhenUsed/>
    <w:rsid w:val="00796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36223">
      <w:bodyDiv w:val="1"/>
      <w:marLeft w:val="0"/>
      <w:marRight w:val="0"/>
      <w:marTop w:val="0"/>
      <w:marBottom w:val="0"/>
      <w:divBdr>
        <w:top w:val="none" w:sz="0" w:space="0" w:color="auto"/>
        <w:left w:val="none" w:sz="0" w:space="0" w:color="auto"/>
        <w:bottom w:val="none" w:sz="0" w:space="0" w:color="auto"/>
        <w:right w:val="none" w:sz="0" w:space="0" w:color="auto"/>
      </w:divBdr>
    </w:div>
    <w:div w:id="1524899636">
      <w:bodyDiv w:val="1"/>
      <w:marLeft w:val="0"/>
      <w:marRight w:val="0"/>
      <w:marTop w:val="0"/>
      <w:marBottom w:val="0"/>
      <w:divBdr>
        <w:top w:val="none" w:sz="0" w:space="0" w:color="auto"/>
        <w:left w:val="none" w:sz="0" w:space="0" w:color="auto"/>
        <w:bottom w:val="none" w:sz="0" w:space="0" w:color="auto"/>
        <w:right w:val="none" w:sz="0" w:space="0" w:color="auto"/>
      </w:divBdr>
      <w:divsChild>
        <w:div w:id="1472019906">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VID-19" TargetMode="External"/><Relationship Id="rId13" Type="http://schemas.openxmlformats.org/officeDocument/2006/relationships/hyperlink" Target="https://www.who.int/dg/speeches/detail/who-director-general-s-remarks-at-the-media-briefing-on-2019-ncov-on-11-february-2020" TargetMode="External"/><Relationship Id="rId18" Type="http://schemas.openxmlformats.org/officeDocument/2006/relationships/hyperlink" Target="https://www.nytimes.com/es/2020/03/02/espanol/coronavirus-influenza.html" TargetMode="External"/><Relationship Id="rId3" Type="http://schemas.openxmlformats.org/officeDocument/2006/relationships/settings" Target="settings.xml"/><Relationship Id="rId7" Type="http://schemas.openxmlformats.org/officeDocument/2006/relationships/hyperlink" Target="https://es.wikipedia.org/wiki/Ministerio_de_Sanidad_(Espa%C3%B1a)" TargetMode="External"/><Relationship Id="rId12" Type="http://schemas.openxmlformats.org/officeDocument/2006/relationships/hyperlink" Target="https://es.wikipedia.org/wiki/Fund%C3%A9u_BBVA" TargetMode="External"/><Relationship Id="rId17" Type="http://schemas.openxmlformats.org/officeDocument/2006/relationships/hyperlink" Target="https://elpais.com/sociedad/2020/02/25/actualidad/1582633130_987648.html" TargetMode="External"/><Relationship Id="rId2" Type="http://schemas.openxmlformats.org/officeDocument/2006/relationships/styles" Target="styles.xml"/><Relationship Id="rId16" Type="http://schemas.openxmlformats.org/officeDocument/2006/relationships/hyperlink" Target="https://medlineplus.gov/spanish/coronavirusinfection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scbs.gob.es/profesionales/saludPublica/ccayes/alertasActual/nCov-China/ciudadania.htm" TargetMode="External"/><Relationship Id="rId11" Type="http://schemas.openxmlformats.org/officeDocument/2006/relationships/hyperlink" Target="https://www.fundeu.es/recomendacion/coronavirus-claves-de-escritura/" TargetMode="External"/><Relationship Id="rId5" Type="http://schemas.openxmlformats.org/officeDocument/2006/relationships/image" Target="media/image1.emf"/><Relationship Id="rId15" Type="http://schemas.openxmlformats.org/officeDocument/2006/relationships/hyperlink" Target="http://www.nhc.gov.cn/yzygj/s7653p/202002/18c1bb43965a4492907957875de02ae7.shtml" TargetMode="External"/><Relationship Id="rId10" Type="http://schemas.openxmlformats.org/officeDocument/2006/relationships/hyperlink" Target="https://es.wikipedia.org/wiki/COVID-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COVID-19" TargetMode="External"/><Relationship Id="rId14" Type="http://schemas.openxmlformats.org/officeDocument/2006/relationships/hyperlink" Target="https://es.wikipedia.org/wiki/Organizaci%C3%B3n_Mundial_de_la_Sal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846</Words>
  <Characters>4656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Tuñón</dc:creator>
  <cp:keywords/>
  <dc:description/>
  <cp:lastModifiedBy>Manuel Tuñón</cp:lastModifiedBy>
  <cp:revision>1</cp:revision>
  <dcterms:created xsi:type="dcterms:W3CDTF">2020-03-10T18:57:00Z</dcterms:created>
  <dcterms:modified xsi:type="dcterms:W3CDTF">2020-03-10T20:05:00Z</dcterms:modified>
</cp:coreProperties>
</file>