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="240" w:lineRule="auto"/>
        <w:jc w:val="center"/>
        <w:rPr>
          <w:rFonts w:ascii="Cambria" w:cs="Cambria" w:eastAsia="Cambria" w:hAnsi="Cambria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333333"/>
          <w:sz w:val="24"/>
          <w:szCs w:val="24"/>
          <w:rtl w:val="0"/>
        </w:rPr>
        <w:t xml:space="preserve">Кабінет Міністрів визнав такою, що втратила чинність,                                                                                                      постанову КМУ від 5 жовтня 2009 р. № 1121 «Про затвердження Положення                                                               про групу продовженого дня загальноосвітнього навчального закладу».</w:t>
      </w:r>
    </w:p>
    <w:p w:rsidR="00000000" w:rsidDel="00000000" w:rsidP="00000000" w:rsidRDefault="00000000" w:rsidRPr="00000000" w14:paraId="00000002">
      <w:pPr>
        <w:shd w:fill="ffffff" w:val="clear"/>
        <w:spacing w:after="225" w:line="240" w:lineRule="auto"/>
        <w:rPr>
          <w:rFonts w:ascii="Cambria" w:cs="Cambria" w:eastAsia="Cambria" w:hAnsi="Cambria"/>
          <w:color w:val="333333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rtl w:val="0"/>
        </w:rPr>
        <w:t xml:space="preserve">На зміну їй прийде новий Порядок, створений МОН. У ньому закладено такі важливі зміни: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hd w:fill="ffffff" w:val="clear"/>
        <w:spacing w:after="75" w:before="55" w:lineRule="auto"/>
        <w:ind w:left="-225" w:hanging="360"/>
        <w:rPr>
          <w:color w:val="333333"/>
        </w:rPr>
      </w:pPr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rtl w:val="0"/>
        </w:rPr>
        <w:t xml:space="preserve">передбачено можливість створення інклюзивних та/або спеціальних груп подовженого дня. Визначено особливості процедури їх відкриття, наповнюваності та організації освітнього процесу для дітей з особливими освітніми потребами.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spacing w:after="75" w:before="205" w:lineRule="auto"/>
        <w:ind w:left="-225" w:hanging="360"/>
        <w:rPr>
          <w:color w:val="333333"/>
        </w:rPr>
      </w:pPr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rtl w:val="0"/>
        </w:rPr>
        <w:t xml:space="preserve">групи, як і основне навчання, мають формувати в учнів ключові компетентності, а також забезпечувати виконання індивідуальної програми розвитку дітей з особливими освітніми потребами.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spacing w:after="75" w:before="205" w:lineRule="auto"/>
        <w:ind w:left="-225" w:hanging="360"/>
        <w:rPr>
          <w:color w:val="333333"/>
        </w:rPr>
      </w:pPr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rtl w:val="0"/>
        </w:rPr>
        <w:t xml:space="preserve">скасоване Положення допускало комплектування груп у межах щонайменше 4-х вікових категорій (наприклад, з учнів 2-5 класів), а тепер різниця у віці учнів з однієї групи не має перевищувати двох вікових груп (приміром, з учнів 2-3 класів). Це дозволить забезпечити комфортніші умови для дітей з урахуванням їх індивідуальних психологічних відмінностей та фізичного розвитку.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spacing w:after="75" w:before="205" w:lineRule="auto"/>
        <w:ind w:left="-225" w:hanging="360"/>
        <w:rPr>
          <w:color w:val="333333"/>
        </w:rPr>
      </w:pPr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rtl w:val="0"/>
        </w:rPr>
        <w:t xml:space="preserve">водночас заклади, що знаходяться в сільській та/або гірській місцевості, як і раніше, зможуть утворювати групи подовженого дня для учнів різного віку.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Про затвердження Порядку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створення груп подовженого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дня у державних і комунальних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закладах загальної середньої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Відповідно до абзацу другого частини п’ятої статті 14 Закону України “Про загальну середню освіту”, Положення про Міністерство освіти і науки України, затвердженого постановою Кабінету Міністрів України від 16 жовтня 2014 року № 630,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НАКАЗУЮ: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1. Затвердити Порядок створення груп подовженого дня у державних і комунальних закладах загальної середньої освіти, що додається.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2. Департаменту загальної середньої та дошкільної освіти  (Кононенко Ю. Г.) забезпечити в установленому порядку подання цього наказу на державну реєстрацію до Міністерства юстиції України.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3. Управлінню з питань інформаційної політики та комунікацій (Голубова Т.А.) після державної реєстрації цього наказу забезпечити його оприлюднення на офіційному веб-сайті Міністерства освіти і науки України.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4. Цей наказ набирає чинності з дня його офіційного опублікування.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5. Контроль за виконанням цього наказу покласти на заступника міністра Хобзея П. К.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Міністр Л. М. Гриневич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ЗАТВЕРДЖЕНО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Наказ Міністерства освіти і науки України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_____________ № 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ПОРЯДОК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створення груп подовженого дня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у державних і комунальних закладах загальної середньої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1. Цей Порядок визначає механізм утворення груп подовженого дня у державних і комунальних закладах загальної середньої освіти (далі – групи подовженого дня) та основні засади їх функціонування.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2. Група подовженого дня створюється для: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організації навчальної і пізнавальної діяльності учнів (вихованців);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організації дозвілля учнів (вихованців);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надання кваліфікованої допомоги учням (вихованцям) у підготовці до уроків і виконанні домашніх завдань;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збереження та зміцнення здоров’я учнів (вихованців), формування гігієнічних навичок і засад здорового способу життя;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формування в учнів (вихованців) ключових компетентностей, необхідних для успішної життєдіяльності та самореалізації особистості.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3. Організація та функціонування групи подовженого дня здійснюється з додержанням вимог законодавства щодо охорони праці, правил протипожежної безпеки, санітарно-гігієнічних та державних будівельних правил та норм.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4. Група подовженого дня створюється за наявності необхідної матеріально-технічної бази та умов для організації харчування учнів (вихованців).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Засновник закладу загальної середньої освіти може створювати умови для організації денного відпочинку (сну) в групі подовженого дня, сформованої з учнів першого класу.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5. Групи подовженого дня створюються та функціонують відповідно до рішення засновника закладу загальної середньої освіти за письмовими зверненнями батьків, інших законних представників учнів (вихованців).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На підставі рішення засновника керівник закладу загальної середньої освіти видає наказ про організацію діяльності групи подовженого дня.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6. У закладах загальної середньої освіти у разі необхідності можуть утворюватися групи подовженого дня для дітей з особливими освітніми потребами та/або інклюзивні групи подовженого дня.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7. Нормативи наповнюваності груп подовженого дня встановлюються відповідно до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закладах, затверджених наказом Міністерства освіти і науки України від 20 лютого 2002 року № 128, зареєстрованого в Міністерстві юстиції України 06 березня 2002 року за № 229/6517.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Рішення про встановлення меншої чисельності учнів (вихованців) групи подовженого дня приймає керівник закладу загальної середньої освіти за погодженням із засновником закладу загальної середньої освіти.</w:t>
      </w:r>
    </w:p>
    <w:p w:rsidR="00000000" w:rsidDel="00000000" w:rsidP="00000000" w:rsidRDefault="00000000" w:rsidRPr="00000000" w14:paraId="0000002D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Зарахування учнів (вихованців) до групи подовженого дня та їх відрахування з неї здійснюються згідно з наказом керівника закладу загальної середньої освіти на підставі відповідної заяви батьків або інших законних представників учнів (вихованців).</w:t>
      </w:r>
    </w:p>
    <w:p w:rsidR="00000000" w:rsidDel="00000000" w:rsidP="00000000" w:rsidRDefault="00000000" w:rsidRPr="00000000" w14:paraId="0000002E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Заяви про зарахування учнів (вихованців) до групи подовженого дня приймаються на початку кожного навчального року, як правило, до 5 вересня.</w:t>
      </w:r>
    </w:p>
    <w:p w:rsidR="00000000" w:rsidDel="00000000" w:rsidP="00000000" w:rsidRDefault="00000000" w:rsidRPr="00000000" w14:paraId="0000002F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Різниця у віці учнів (вихованців), зарахованих до групи подовженого дня, не може перевищувати двох років.</w:t>
      </w:r>
    </w:p>
    <w:p w:rsidR="00000000" w:rsidDel="00000000" w:rsidP="00000000" w:rsidRDefault="00000000" w:rsidRPr="00000000" w14:paraId="00000030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8. Режим роботи групи подовженого дня та організації освітнього процесу, схвалюється педагогічною радою і затверджується керівником закладу загальної середньої освіти.</w:t>
      </w:r>
    </w:p>
    <w:p w:rsidR="00000000" w:rsidDel="00000000" w:rsidP="00000000" w:rsidRDefault="00000000" w:rsidRPr="00000000" w14:paraId="00000031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1a1a1a"/>
          <w:sz w:val="24"/>
          <w:szCs w:val="24"/>
          <w:rtl w:val="0"/>
        </w:rPr>
        <w:t xml:space="preserve">Режим роботи групи подовженого дня повинен передбачати: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1) організацію: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rPr>
          <w:color w:val="444444"/>
        </w:rPr>
      </w:pPr>
      <w:r w:rsidDel="00000000" w:rsidR="00000000" w:rsidRPr="00000000">
        <w:rPr>
          <w:rFonts w:ascii="Cambria" w:cs="Cambria" w:eastAsia="Cambria" w:hAnsi="Cambria"/>
          <w:color w:val="444444"/>
          <w:sz w:val="24"/>
          <w:szCs w:val="24"/>
          <w:rtl w:val="0"/>
        </w:rPr>
        <w:t xml:space="preserve">прогулянки (прогулянок) на відкритому повітрі тривалістю не менш як одна година 30 хвилин для учнів (вихованців) перших – четвертих класів;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rPr>
          <w:color w:val="444444"/>
        </w:rPr>
      </w:pPr>
      <w:r w:rsidDel="00000000" w:rsidR="00000000" w:rsidRPr="00000000">
        <w:rPr>
          <w:rFonts w:ascii="Cambria" w:cs="Cambria" w:eastAsia="Cambria" w:hAnsi="Cambria"/>
          <w:color w:val="444444"/>
          <w:sz w:val="24"/>
          <w:szCs w:val="24"/>
          <w:rtl w:val="0"/>
        </w:rPr>
        <w:t xml:space="preserve">харчування тривалістю не менш як 30 хвилин;</w:t>
      </w:r>
    </w:p>
    <w:p w:rsidR="00000000" w:rsidDel="00000000" w:rsidP="00000000" w:rsidRDefault="00000000" w:rsidRPr="00000000" w14:paraId="00000035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2) виконання домашніх завдань (за наявності) тривалістю не більше однієї години;</w:t>
      </w:r>
    </w:p>
    <w:p w:rsidR="00000000" w:rsidDel="00000000" w:rsidP="00000000" w:rsidRDefault="00000000" w:rsidRPr="00000000" w14:paraId="00000036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3) проведення:</w:t>
      </w:r>
    </w:p>
    <w:p w:rsidR="00000000" w:rsidDel="00000000" w:rsidP="00000000" w:rsidRDefault="00000000" w:rsidRPr="00000000" w14:paraId="00000037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спортивно-оздоровчих занять для учнів (вихованців) тривалістю не менше години;</w:t>
      </w:r>
    </w:p>
    <w:p w:rsidR="00000000" w:rsidDel="00000000" w:rsidP="00000000" w:rsidRDefault="00000000" w:rsidRPr="00000000" w14:paraId="00000038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занять у гуртках, секціях та екскурсій.</w:t>
      </w:r>
    </w:p>
    <w:p w:rsidR="00000000" w:rsidDel="00000000" w:rsidP="00000000" w:rsidRDefault="00000000" w:rsidRPr="00000000" w14:paraId="00000039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Тривалість перебування учнів (вихованців) у групі подовженого дня становить не більше шести годин на день.</w:t>
      </w:r>
    </w:p>
    <w:p w:rsidR="00000000" w:rsidDel="00000000" w:rsidP="00000000" w:rsidRDefault="00000000" w:rsidRPr="00000000" w14:paraId="0000003A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Для профілактики стомлюваності, порушення статури, зору учнів (вихованців) початкових класів необхідно через кожні 15 хвилин заняття проводити фізкультхвилинки та гімнастику для очей.</w:t>
      </w:r>
    </w:p>
    <w:p w:rsidR="00000000" w:rsidDel="00000000" w:rsidP="00000000" w:rsidRDefault="00000000" w:rsidRPr="00000000" w14:paraId="0000003B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9. Вихователь працює з учнями (вихованцями) відповідно до щоденного плану роботи вихователя, який, як правило, включає: прогулянку, самопідготовку, виховні бесіди, дидактичні та рольові ігри тощо.</w:t>
      </w:r>
    </w:p>
    <w:p w:rsidR="00000000" w:rsidDel="00000000" w:rsidP="00000000" w:rsidRDefault="00000000" w:rsidRPr="00000000" w14:paraId="0000003C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План роботи вихователя групи подовженого дня погоджується із заступником керівника закладу загальної середньої освіти із виховної роботи і затверджується керівником такого закладу.</w:t>
      </w:r>
    </w:p>
    <w:p w:rsidR="00000000" w:rsidDel="00000000" w:rsidP="00000000" w:rsidRDefault="00000000" w:rsidRPr="00000000" w14:paraId="0000003D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10. Фінансування груп подовженого дня здійснюється за кошти засновника та з інших джерел, не заборонених законодавством.</w:t>
      </w:r>
    </w:p>
    <w:p w:rsidR="00000000" w:rsidDel="00000000" w:rsidP="00000000" w:rsidRDefault="00000000" w:rsidRPr="00000000" w14:paraId="0000003E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Оплата праці вихователя групи подовженого дня проводиться відповідно до законодавства.</w:t>
      </w:r>
    </w:p>
    <w:p w:rsidR="00000000" w:rsidDel="00000000" w:rsidP="00000000" w:rsidRDefault="00000000" w:rsidRPr="00000000" w14:paraId="0000003F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11. Відповідальними за життя та здоров’я учнів (вихованців) під час їх перебування в групі подовженого дня є керівник закладу загальної середньої освіти, його заступник, вихователь та інші педагогічні працівники.</w:t>
      </w:r>
    </w:p>
    <w:p w:rsidR="00000000" w:rsidDel="00000000" w:rsidP="00000000" w:rsidRDefault="00000000" w:rsidRPr="00000000" w14:paraId="00000040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12. Відповідальними за збереження навчального обладнання, що використовується для організації групи подовженого дня, є вихователь та інші педагогічні працівники.</w:t>
      </w:r>
    </w:p>
    <w:p w:rsidR="00000000" w:rsidDel="00000000" w:rsidP="00000000" w:rsidRDefault="00000000" w:rsidRPr="00000000" w14:paraId="00000041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Директор департаменту загальної середньої та дошкільної освіти              Ю. Г. Кононенко</w:t>
      </w:r>
    </w:p>
    <w:p w:rsidR="00000000" w:rsidDel="00000000" w:rsidP="00000000" w:rsidRDefault="00000000" w:rsidRPr="00000000" w14:paraId="00000043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1f2f4" w:val="clear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ІНКЛЮЗИВНІ ГРУПИ ПОДОВЖЕНОГО ДНЯ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150" w:lineRule="auto"/>
        <w:rPr>
          <w:rFonts w:ascii="Cambria" w:cs="Cambria" w:eastAsia="Cambria" w:hAnsi="Cambria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Для дітей з особливими освітніми потребами, які навчаються в інклюзивних та спеціальних класах на підставі письмового звернення батьків чи інших законних представників утворюють інклюзивні та/або спеціальні групи подовженого дня.</w:t>
      </w:r>
    </w:p>
    <w:p w:rsidR="00000000" w:rsidDel="00000000" w:rsidP="00000000" w:rsidRDefault="00000000" w:rsidRPr="00000000" w14:paraId="00000046">
      <w:pPr>
        <w:shd w:fill="ffffff" w:val="clear"/>
        <w:spacing w:after="15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У цих групах кількість учнів з особливими освітніми потребами становить: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hd w:fill="ffffff" w:val="clear"/>
        <w:spacing w:after="0" w:before="13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1-3 дитини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 із числа дітей з порушеннями опорно-рухового апарату, затримкою психічного розвитку, зниженим зором чи слухом, легкими інтелектуальними порушеннями тощо;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hd w:fill="ffffff" w:val="clear"/>
        <w:spacing w:after="280" w:before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не більш як 2 дітей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 з числа дітей сліпих, глухих, з тяжкими порушеннями мовлення, у тому числі з дислексією, розладами спектра аутизму, іншими складними порушеннями розвитку (порушеннями слуху, зору, опорно-рухового апарату в поєднанні з інтелектуальними порушеннями чи затримкою психічного розвитку) або тих, що пересуваються на візках.</w:t>
      </w:r>
    </w:p>
    <w:p w:rsidR="00000000" w:rsidDel="00000000" w:rsidP="00000000" w:rsidRDefault="00000000" w:rsidRPr="00000000" w14:paraId="00000049">
      <w:pPr>
        <w:shd w:fill="ffffff" w:val="clear"/>
        <w:spacing w:after="0" w:lineRule="auto"/>
        <w:jc w:val="both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568" w:top="568" w:left="851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