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"Центр комплексного развития производительных сил депрессивных регионов"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73763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115569, Москва, Маршала Захарова 27-131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ИНН 7724438659  КПП 772401001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ОГРН 1187700007263 от 20.04.2018 Учетный № 7714058076 от 03.05.2018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Исх.№204/20/</w:t>
      </w:r>
      <w:r w:rsidDel="00000000" w:rsidR="00000000" w:rsidRPr="00000000">
        <w:rPr>
          <w:sz w:val="24"/>
          <w:szCs w:val="24"/>
          <w:rtl w:val="0"/>
        </w:rPr>
        <w:t xml:space="preserve">КНДР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  от «</w:t>
      </w:r>
      <w:r w:rsidDel="00000000" w:rsidR="00000000" w:rsidRPr="00000000">
        <w:rPr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апреля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Председателю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Государственного совета КНДР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Ким Чен Ыну</w:t>
      </w:r>
    </w:p>
    <w:p w:rsidR="00000000" w:rsidDel="00000000" w:rsidP="00000000" w:rsidRDefault="00000000" w:rsidRPr="00000000" w14:paraId="0000000E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Дорогой товарищ Ким Чен Ын!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83" w:lineRule="auto"/>
        <w:ind w:left="0" w:right="15.472440944883488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Сегодня 22 апреля в день 150-летия В.И.Ленина, в условиях надвигающейся глобальной рецессии мы, команда соратников с успешным советским и российским производственно-хозяйственным опытом, критически относящихся к методам ведения российской экономики,</w:t>
      </w:r>
    </w:p>
    <w:p w:rsidR="00000000" w:rsidDel="00000000" w:rsidP="00000000" w:rsidRDefault="00000000" w:rsidRPr="00000000" w14:paraId="00000013">
      <w:pPr>
        <w:widowControl w:val="0"/>
        <w:spacing w:line="283" w:lineRule="auto"/>
        <w:ind w:left="0" w:right="15.472440944883488"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предлагаем Вам рассмотреть возможность реализации предлагаемого нами проекта комплексного развития производительных сил (Проект-204) в нескольких провинциях или районах КНДР.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widowControl w:val="0"/>
        <w:spacing w:after="60" w:before="2" w:line="283" w:lineRule="auto"/>
        <w:ind w:left="0" w:right="15.472440944883488" w:firstLine="72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Проект-204 - это механизм, наращивающий производства и обеспечивающий полную трудовую занятость.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2" w:line="283" w:lineRule="auto"/>
        <w:ind w:left="0" w:right="15.472440944883488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Наше предложение основано на положительном опыте работы корпорации регионального развития - Фонда Поколений ХМАО, которая была создана нашими специалистами и успешно работала в России в 1994-2008 годах, а также методах успешно работающих в  некоторых провинциях в Китае и Японии.</w:t>
      </w:r>
    </w:p>
    <w:p w:rsidR="00000000" w:rsidDel="00000000" w:rsidP="00000000" w:rsidRDefault="00000000" w:rsidRPr="00000000" w14:paraId="00000016">
      <w:pPr>
        <w:widowControl w:val="0"/>
        <w:spacing w:before="2" w:line="283" w:lineRule="auto"/>
        <w:ind w:left="0" w:right="15.472440944883488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не подменяем известные инструменты государственного стратегического планирования, считая их базовыми и определяющими.</w:t>
      </w:r>
    </w:p>
    <w:p w:rsidR="00000000" w:rsidDel="00000000" w:rsidP="00000000" w:rsidRDefault="00000000" w:rsidRPr="00000000" w14:paraId="00000017">
      <w:pPr>
        <w:widowControl w:val="0"/>
        <w:spacing w:before="2" w:line="283" w:lineRule="auto"/>
        <w:ind w:left="0" w:right="15.472440944883488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Вместе с тем, при реализации в Вашей стране новых динамических экономических условий, которые определены руководством Партии, предлагаем рассмотреть суть и затем детали нашего предложения, мы готовы раскрыть отработанные на практике механизм развития во всей его полноте. </w:t>
      </w:r>
    </w:p>
    <w:p w:rsidR="00000000" w:rsidDel="00000000" w:rsidP="00000000" w:rsidRDefault="00000000" w:rsidRPr="00000000" w14:paraId="00000018">
      <w:pPr>
        <w:widowControl w:val="0"/>
        <w:spacing w:before="2" w:line="283" w:lineRule="auto"/>
        <w:ind w:left="0" w:right="15.472440944883488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Наш подход позволяет достаточно быстро, путем создания недостающих звеньев реальной экономики, задействовать весь потенциал разрешенного малого и среднего предпринимательства и получить ощутимый эффект в какой-либо выбранной провинции КНДР уже через 1-1.5 года.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ind w:left="0" w:right="15.472440944883488" w:firstLine="72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Наша методология – сродни опыту Совнархозов в СССР и основам региональной политики в КНР. Наше предложение является многообещающим в условиях внедрения в Вашей стране методов «динамического развития».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83" w:lineRule="auto"/>
        <w:ind w:left="0" w:right="15.472440944883488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ходе реализации пилотного (пробного) проекта могут быть подготовлены дополнительные совместные группы специалистов, которые смогут реализовать данный проект в других провинциях Вашей страны.</w:t>
      </w:r>
    </w:p>
    <w:p w:rsidR="00000000" w:rsidDel="00000000" w:rsidP="00000000" w:rsidRDefault="00000000" w:rsidRPr="00000000" w14:paraId="0000001B">
      <w:pPr>
        <w:widowControl w:val="0"/>
        <w:spacing w:line="276" w:lineRule="auto"/>
        <w:ind w:left="0" w:right="15.472440944883488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Иллюстрированный в виде презентации «Проект-204» (так мы его называем)  - это механизм, привлекающий финансовые ресурсы для естественного выстраивания межрегиональных хозяйственных цепочек, наращивающий именно производства и обеспечивающий полную трудовую занятость на больших территориях с преодолением распространенного регионального и местного экономического эгоизма и непонимания курса Партии. </w:t>
      </w:r>
    </w:p>
    <w:p w:rsidR="00000000" w:rsidDel="00000000" w:rsidP="00000000" w:rsidRDefault="00000000" w:rsidRPr="00000000" w14:paraId="0000001C">
      <w:pPr>
        <w:widowControl w:val="0"/>
        <w:spacing w:line="276" w:lineRule="auto"/>
        <w:ind w:left="0" w:right="15.472440944883488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основе лежит, по-сути, социалистическая концепция баланса ресурсов и товаров при устремлении к замыканию бизнес-цепочек до высших уровней производственных переделов. </w:t>
      </w:r>
    </w:p>
    <w:p w:rsidR="00000000" w:rsidDel="00000000" w:rsidP="00000000" w:rsidRDefault="00000000" w:rsidRPr="00000000" w14:paraId="0000001D">
      <w:pPr>
        <w:widowControl w:val="0"/>
        <w:spacing w:line="276" w:lineRule="auto"/>
        <w:ind w:left="0" w:right="15.472440944883488" w:firstLine="72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Механизм «Проекта-204» должен запускаться именно как инструмент Партии, который, с одной стороны будет способствовать развитию и проявлению  инициативы на местах, а с другой- обеспечивать устойчивость и непрерывность процесса именно социалистического развития под руководством Партии.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ind w:left="0" w:right="15.472440944883488" w:firstLine="72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самом упрощенном изложении:  создается прогнозно-плановая но динамичная среда, в которой госпредприятия, предприниматели, кооператоры, в том числе и из за рубежа, быстро «находят друг друга» и сами добровольно стремятся встраиваться в целевые,</w:t>
      </w:r>
      <w:r w:rsidDel="00000000" w:rsidR="00000000" w:rsidRPr="00000000">
        <w:rPr>
          <w:b w:val="1"/>
          <w:sz w:val="28"/>
          <w:szCs w:val="28"/>
          <w:rtl w:val="0"/>
        </w:rPr>
        <w:t xml:space="preserve"> но при этом контролируемые Партией, </w:t>
      </w:r>
      <w:r w:rsidDel="00000000" w:rsidR="00000000" w:rsidRPr="00000000">
        <w:rPr>
          <w:b w:val="1"/>
          <w:sz w:val="28"/>
          <w:szCs w:val="28"/>
          <w:rtl w:val="0"/>
        </w:rPr>
        <w:t xml:space="preserve"> хозяйственные цепочки до самых высоких производственных переделов.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ind w:left="0" w:right="15.472440944883488" w:firstLine="720"/>
        <w:jc w:val="both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Проект повышает устойчивость, созданной вертикали государственного управления, экономически скрепляя предприятия между собой в единые территориально-хозяйственные комплексы, обладающие с одной стороны внутренней самодостаточностью по основным товарным группам, а с другой единым управлением из центра через партийные органы. </w:t>
      </w:r>
    </w:p>
    <w:p w:rsidR="00000000" w:rsidDel="00000000" w:rsidP="00000000" w:rsidRDefault="00000000" w:rsidRPr="00000000" w14:paraId="00000020">
      <w:pPr>
        <w:widowControl w:val="0"/>
        <w:spacing w:line="283" w:lineRule="auto"/>
        <w:ind w:left="0" w:right="15.472440944883488" w:firstLine="720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83" w:lineRule="auto"/>
        <w:ind w:left="0" w:right="15.472440944883488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предложили бы следующую дорожную карту возможного взаимодействия: 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line="283" w:lineRule="auto"/>
        <w:ind w:left="0" w:right="15.472440944883488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Пояснения наших сотрудников в Вашем посольстве в Москве,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line="283" w:lineRule="auto"/>
        <w:ind w:left="0" w:right="15.472440944883488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Доклад основ нашего проекта в Пхеньяне,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line="283" w:lineRule="auto"/>
        <w:ind w:left="0" w:right="15.472440944883488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Совместный анализ и определение границ зоны использования нашего подхода, на основе принятых Партией документов.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line="283" w:lineRule="auto"/>
        <w:ind w:left="0" w:right="15.472440944883488" w:firstLine="720"/>
        <w:rPr>
          <w:sz w:val="28"/>
          <w:szCs w:val="28"/>
        </w:rPr>
        <w:sectPr>
          <w:footerReference r:id="rId6" w:type="default"/>
          <w:pgSz w:h="16838" w:w="11906"/>
          <w:pgMar w:bottom="407.71653543307366" w:top="708.6614173228347" w:left="1260" w:right="850" w:header="708" w:footer="708"/>
          <w:pgNumType w:start="1"/>
          <w:cols w:equalWidth="0"/>
        </w:sectPr>
      </w:pPr>
      <w:r w:rsidDel="00000000" w:rsidR="00000000" w:rsidRPr="00000000">
        <w:rPr>
          <w:sz w:val="28"/>
          <w:szCs w:val="28"/>
          <w:rtl w:val="0"/>
        </w:rPr>
        <w:t xml:space="preserve">Определение дорожной карты реализации пилотного проекта.</w:t>
      </w:r>
    </w:p>
    <w:p w:rsidR="00000000" w:rsidDel="00000000" w:rsidP="00000000" w:rsidRDefault="00000000" w:rsidRPr="00000000" w14:paraId="00000026">
      <w:pPr>
        <w:widowControl w:val="0"/>
        <w:tabs>
          <w:tab w:val="left" w:pos="1082"/>
        </w:tabs>
        <w:spacing w:before="54" w:line="283" w:lineRule="auto"/>
        <w:ind w:left="0" w:right="15.472440944883488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left="0" w:right="15.472440944883488" w:firstLine="720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left="0" w:right="15.472440944883488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Приложения: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76" w:lineRule="auto"/>
        <w:ind w:left="0" w:right="15.472440944883488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«Механизм развития производительных сил » (Презентация)- 24 стр.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76" w:lineRule="auto"/>
        <w:ind w:left="0" w:right="15.472440944883488" w:firstLine="72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Region Intensive Development Project - 204 (Английский) - 24 стр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276" w:lineRule="auto"/>
        <w:ind w:left="0" w:right="15.472440944883488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Фонд Поколений 1994-2008 (Презентация) - 28 стр.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76" w:lineRule="auto"/>
        <w:ind w:left="0" w:right="15.472440944883488" w:firstLine="72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Experience in the creation and operation of the Region Development Corporation in Western Siberia in 1994-2008  (Английский)  - 2 стр</w:t>
      </w:r>
    </w:p>
    <w:p w:rsidR="00000000" w:rsidDel="00000000" w:rsidP="00000000" w:rsidRDefault="00000000" w:rsidRPr="00000000" w14:paraId="0000002D">
      <w:pPr>
        <w:spacing w:line="276" w:lineRule="auto"/>
        <w:ind w:left="0" w:right="15.472440944883488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left="0" w:right="15.472440944883488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right="15.472440944883488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 уважением,</w:t>
      </w:r>
    </w:p>
    <w:p w:rsidR="00000000" w:rsidDel="00000000" w:rsidP="00000000" w:rsidRDefault="00000000" w:rsidRPr="00000000" w14:paraId="00000030">
      <w:pPr>
        <w:ind w:left="708.6614173228347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08.6614173228347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08.6614173228347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08.6614173228347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Артемов Леонид Валентинович</w:t>
      </w:r>
    </w:p>
    <w:p w:rsidR="00000000" w:rsidDel="00000000" w:rsidP="00000000" w:rsidRDefault="00000000" w:rsidRPr="00000000" w14:paraId="00000035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Директор АНО “ЦК РПСДР”</w:t>
      </w:r>
    </w:p>
    <w:p w:rsidR="00000000" w:rsidDel="00000000" w:rsidP="00000000" w:rsidRDefault="00000000" w:rsidRPr="00000000" w14:paraId="00000036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Исп. Егоров Юрий Николаевич, член ЦК Компартии России 1989-1992</w:t>
      </w:r>
    </w:p>
    <w:p w:rsidR="00000000" w:rsidDel="00000000" w:rsidP="00000000" w:rsidRDefault="00000000" w:rsidRPr="00000000" w14:paraId="00000038">
      <w:pPr>
        <w:ind w:firstLine="72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тел.+7 901 701-15-87, +7 926 910 71-74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832.9133858267733" w:top="708.6614173228347" w:left="1260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