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4Р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Губернатору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Кировской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И.В. ВАСИЛЬЕВУ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Первому заместителю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Председателя Правительства РФ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А.Р. БЕЛОУСОВУ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Игорь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Владимирович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вверенной Вам области.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Проект-204 - это механизм, привлекающий в регион финансы, наращивающий производства и обеспечивающий полную трудозанятость.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задействовать весь потенциал малого и среднего предпринимательства и получить ощутимый эффект уже через 2-2.5 года.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команды, которые смогут реализовать данный проект в других областях страны.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0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тел.+7 901 701-15-87, +7 916 841-42-43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