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1М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февраля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Председателю Правительства РФ</w:t>
      </w:r>
    </w:p>
    <w:p w:rsidR="00000000" w:rsidDel="00000000" w:rsidP="00000000" w:rsidRDefault="00000000" w:rsidRPr="00000000" w14:paraId="0000000F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М.В.МИШУСТИНУ</w:t>
      </w:r>
    </w:p>
    <w:p w:rsidR="00000000" w:rsidDel="00000000" w:rsidP="00000000" w:rsidRDefault="00000000" w:rsidRPr="00000000" w14:paraId="00000010">
      <w:pPr>
        <w:tabs>
          <w:tab w:val="center" w:pos="4677"/>
          <w:tab w:val="right" w:pos="9765"/>
        </w:tabs>
        <w:ind w:left="-18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Губернатору Псковской области</w:t>
      </w:r>
    </w:p>
    <w:p w:rsidR="00000000" w:rsidDel="00000000" w:rsidP="00000000" w:rsidRDefault="00000000" w:rsidRPr="00000000" w14:paraId="00000011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М.Ю.ВЕДЕРНИКОВУ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Максим Геннадьевич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Псковской области.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годах., а также  методах успешно работающих в Китае и Японии.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Стратегия социально-экономического развития области, схема территориального планирования области, прогнозы социально-экономического развития области на долгосрочную и среднесрочную перспективы и комплекс государственных программ не помешают совместной с нами работе.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путём создания недостающих звеньев рыночной экономики,  включить весь потенциал именно малого и среднего предпринимательства и получить ощутимый эффект уже через 2-2.5 года.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Наша методология – сродни опыту совнархозов в СССР и основам региональной политики в КНР. 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ходе реализации пилотного проекта будут подготовлены дополнительные команды которые смогут реализовать данный проект в других проблемных областях страны.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Псковская область выбрана под пилот ввиду своего: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географического положения рядом с более развитыми Эстонией, Латвией и Белоруссией, а также близостью Москвы и Санкт-Петербурга - рынков сбыта и источников трудовых ресурсов (жителей Псковской области уехавших туда работать, но всегда готовых вернуться когда будет достойная работа на малой родине)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76" w:lineRule="auto"/>
        <w:ind w:left="144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исторического значения как исконно русской земли, которая может и должна стать снова образцом для подражания и возрождения процветающей России. 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не требует бюджетного финансирования.</w:t>
      </w:r>
      <w:r w:rsidDel="00000000" w:rsidR="00000000" w:rsidRPr="00000000">
        <w:rPr>
          <w:sz w:val="24"/>
          <w:szCs w:val="24"/>
          <w:rtl w:val="0"/>
        </w:rPr>
        <w:t xml:space="preserve"> Под реализацию проекта на территории Псковской области у нас уже имеется возможность привлечь согласованное финансирование из Западной Европы в объеме до 250 млн.евро.</w:t>
      </w:r>
      <w:r w:rsidDel="00000000" w:rsidR="00000000" w:rsidRPr="00000000">
        <w:rPr>
          <w:b w:val="1"/>
          <w:sz w:val="24"/>
          <w:szCs w:val="24"/>
          <w:rtl w:val="0"/>
        </w:rPr>
        <w:t xml:space="preserve"> Частные инвестиционные фонды проявили свою заинтересованность в успехе данного проекта, потому что он инструментом реализации имеет именно малый и средний бизнес.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25">
      <w:pPr>
        <w:spacing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6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7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3- Совместный анализ и определение границ зоны использования нашего подхода,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9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A">
      <w:pPr>
        <w:spacing w:line="276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Проект-204 «Комплексное развитие производительных сил» (Краткое резюме)-1 стр.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Опыт создания и работы Фонда Поколений ХМАО - 3 стр.</w:t>
      </w:r>
    </w:p>
    <w:p w:rsidR="00000000" w:rsidDel="00000000" w:rsidP="00000000" w:rsidRDefault="00000000" w:rsidRPr="00000000" w14:paraId="0000002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 уважением,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36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3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39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тел.+7 926 970 62 46, +79269107174</w:t>
      </w:r>
    </w:p>
    <w:p w:rsidR="00000000" w:rsidDel="00000000" w:rsidP="00000000" w:rsidRDefault="00000000" w:rsidRPr="00000000" w14:paraId="0000003A">
      <w:pPr>
        <w:widowControl w:val="0"/>
        <w:tabs>
          <w:tab w:val="left" w:pos="183"/>
        </w:tabs>
        <w:spacing w:after="439" w:lineRule="auto"/>
        <w:ind w:right="5.0787401574808655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16.377952755907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