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40"/>
          <w:shd w:fill="FFFFFF" w:val="clear"/>
        </w:rPr>
        <w:t xml:space="preserve">Стратегія розвитку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40"/>
          <w:shd w:fill="FFFFFF" w:val="clear"/>
        </w:rPr>
        <w:t xml:space="preserve">Берегівського ЗЗСО  І-ІІступенів 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40"/>
          <w:shd w:fill="FFFFFF" w:val="clear"/>
        </w:rPr>
        <w:t xml:space="preserve">Мостиської міської ради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40"/>
          <w:shd w:fill="FFFFFF" w:val="clear"/>
        </w:rPr>
        <w:t xml:space="preserve">на 2021-2025 роки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40"/>
          <w:shd w:fill="FFFFFF" w:val="clear"/>
        </w:rPr>
        <w:t xml:space="preserve"> 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40"/>
          <w:shd w:fill="FFFFFF" w:val="clear"/>
        </w:rPr>
        <w:t xml:space="preserve"> 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40"/>
          <w:shd w:fill="FFFFFF" w:val="clear"/>
        </w:rPr>
        <w:t xml:space="preserve"> 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40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t xml:space="preserve">СХВАЛЕНО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t xml:space="preserve">Рішенням педагогічної ради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t xml:space="preserve">від 30.08.2021 </w:t>
      </w:r>
      <w:r>
        <w:rPr>
          <w:rFonts w:ascii="Segoe UI Symbol" w:hAnsi="Segoe UI Symbol" w:cs="Segoe UI Symbol" w:eastAsia="Segoe UI Symbol"/>
          <w:b/>
          <w:color w:val="433B32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t xml:space="preserve">6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b/>
          <w:color w:val="433B32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3B32"/>
          <w:spacing w:val="0"/>
          <w:position w:val="0"/>
          <w:sz w:val="28"/>
          <w:shd w:fill="FFFFFF" w:val="clear"/>
        </w:rPr>
        <w:br/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 М І С Т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І. ВСТУП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ІІ. ЗАГАЛЬНІ ПОЛОЖЕННЯ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ІІІ. ПЛАН РОЗВИТКУ ЗАКЛАДУ НА 2021-2025 рр.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ЦІЛЬОВІ ПРОЄКТИ: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І.Ефективний менеджмент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Кадровий потенціал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Управління закладом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Єдиний інформаційний простір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ІІ.Інновації сучасної школи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Книгландія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ІІІ.Подаруй дитині здоров’я. 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Школа сприяння здоров’ю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Навчання  дітей з особливими освітніми потребами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ІV.Капітальний ремонт  та утеплення фасаду 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26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26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br/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І.  ВСТУП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Берегівський заклад загальної середньої освіти І-ІІ ступенів Мостиської міської ради у своїй роботі керується Конституцією України, законами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повну загальну середню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 іншими нормативно-правовими актами у сфері освіти.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Розроблення стратегічного плану розвитку закладу зумовлено якісним оновленням змісту освіти, який полягає в необхідності привести її у відповідність із європейськими стандартами, потребами сучасного життя, запитами суспільства щодо якісної та доступної освіти.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Основні шляхи розвитку школи спрямовані на реалізацію Концепції "Нової української школи", складовими якої є: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Новий зміст освіти, заснований на формуванні компетентностей, необхідних для успішної самореалізації в суспільстві.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Педагогіка, що грунтується на партнерстві між учнем, учителем і батьками.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Умотивований учитель, який має свободу творчості й розвивається професійно.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Орієнтація на потреби учня в освітньому процесі, дитиноцентризм.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Наскрізний процес виховання, який формує цінності.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Нова структура школи, що дозволяє добре засвоїти новий зміст і набути компетентності для життя.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Децентралізація та ефективне управління, що надасть школі реальну автономію.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Справедливий розподіл публічних коштів, який забезпечує рівний доступ усіх дітей до якісної освіти.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Сучасне освітнє  середовище.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Стратегічний план  визначає основні шляхи розвитку школи. Він скеровує педагогів до реалізації ціннісних пріоритетів особистості, задоволення освітніх потреб молоді, створення розвивального середовища, у якому б реалізувалася сучасна модель випускника.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Стратегічний план  розвитку школи є комплексом науково-методичних, матеріально-технічних та управлінських проєктів із визначенням шляхів їх реалізації. У ньому максимально враховані потреби педагогічного, учнівського та батьківського колективів.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Проєкти, з яких складається Стратегічний план, допоможуть вирішити такі завдання: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Організація методичної та виховної роботи в школі відповідно до Концепції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Нова українська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умов виховання та навчання учнів, які забезпечують збереження фізичного та психічного здоров’я дітей.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Організація виховання учасників освітнього процесу, зорієнтованого на загальнолюдські цінності.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Організація роботи з  дітьми із особливими освітніми потребами.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Професійний розвиток педагогічних кадрів, спонукання до творчої педагогічної діяльності.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Забезпечення, оптимізація та покращення матеріально-технічної бази.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Основними результатами стратегічного плану розвитку школи стануть удосконалення й модернізація сучасного освітнього середовища закладу, системні позитивні зміни, підвищення рівня та якості освіти. План дає можливість виробити стратегічні та пріоритетні напрями діяльності школи на найближчі 5 років.</w:t>
      </w: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ІІ. ЗАГАЛЬНІ ПОЛОЖЕННЯ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Пріоритетним напрямом сучасної освітньої системи України є доступ до якісної освіти, до найкращих світових здобутків в освітній галузі.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зазначає, що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метою повної загальної середньої освіти 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Основна мета діяльності закладу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це безперервний процес підвищення ефективності освітнього процесу з одночасним урахуванням потреб суспільства, потреб особистості учня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Цьому сприяє застосування новітніх досягнень педагогіки та психології, використання інноваційних технологій навчання, комп’ютеризація освітнього процесу.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Освітній  процес школи спрямований на формування у випускника якостей, необхідних для життєвого та професійного визначення: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орієнтації у сучасних реаліях і підготовленості до життя у ХХІ столітті;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здатність до самовизначення, саморозвитку, самоосвіти;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наявність життєвого досвіду спілкування, роботи в колективі, під керівництвом, самостійно, з літературою;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високий рівень освіченості, культури, здатність до творчої праці, професійного розвитку, застосування комунікативних компетенцій, упровадження у своїй діяльності ІКТ;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вільне володіння комп’ютером,  високий рівень культури користування ІКТ;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готовність до вибору професії відповідно до своїх здібностей та можливостей, потреб ринку праці;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сформовані трудова та моральна життєва мотивації, активна громадянська і професійна позиції.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Стратегічний план розвитку школи передбачає реалізацію комплексу  науково-методичних, матеріально-технічних та управлінських проектів за стратегічними напрямами: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Ефективний менеджмент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» 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Цілі та завдання: 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атмосфери спільної відповідальності за результати освітньої діяльності з боку всіх учасників освітнього процесу;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Вироблення стратегії розвитку освітньої системи школи; 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Сприяння участі громадськості у формуванні освітньої політики школи;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 внутрішньої системи якості освіти;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 академічної доброчесності;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Оптимізація мережі класів;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єдиного інформаційно-освітнього простору, який включає сукупність технічних, програмних, телекомунікаційних і методичних засобів, що дозволяють застосовувати в освітньому процесі нові інформаційні технології і здійснювати збір, зберігання і обробку даних системи освіти. Основними учасниками і користувачами єдиного інформаційно-освітнього простору мають бути: педагоги, учні, адміністрація школи, батьки;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Зміна типу закладу відповідно до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розділ XII “Прикінцеві та перехідні положення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стаття 9;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 прозорості та інформаційної відкритості з приводу роботи закладу на власному вебсайті.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Кадровий потенціал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Мета: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 нової якості  педагогічних кадрів;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 сприятливих та комфортних умов організаційно-педагогічної, методичної роботи;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атмосфери спільної відповідальності за результати освітньої діяльності з боку всіх учасників освітнього процесу.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Очікувані результати: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Залучення позабюджетних коштів, покращення роботи з охорони праці та соціального захисту;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Удосконалення методичної роботи школи; здатність педпрацівників до ініціативної, творчої, пошукової діяльності;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Підвищення науково-теоретичної, методичної та психологічної підготовки педагогічних працівників;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Запровадження нових моделей, форм і методів підвищення кваліфікації педагогічних працівників;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Підвищення професійної майстерності педагогів шляхом проходження сертифікації.</w:t>
      </w: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Управління закладом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Мета: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 якісних змін в освітньому просторі школи відповідно до нового закону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Здійснення систематичного планування, моніторингу та аналізу діяльності навчального закладу; 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Організація взаємодії всіх учасників освітнього процесу.  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Очікувані результати: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Зміна типу та назви закладу з 2021-2022 навчального року: гімназія(зі структурним підрозділом початкової школи та дошкільним закладом) Мостиської міської ради, що забезпечує реалізацію прав громадян на здобуття початкової та базової середньої освіти;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Ефективне управління закладом на основі проектно-цільового методу;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Організація та забезпечення оптимальних, стабільних умов для освітнього процесу;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Об’єднання зусиль педагогічного колективу школи для підвищення рівня навчально-виховної роботи, упровадження в практику досягнень педагогічної науки й передового педагогічного досвіду;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Надання освітніх послуг через форми здобуття освіти ( очна, дистанційна, сімейна, екстернатна, педагогічний патронаж).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Єдиний інформаційний простір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Мета: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єдиного інформаційно-освітнього простору, який включає сукупність технічних, програмних, телекомунікаційних і методичних засобів, що дозволяють застосовувати в освітньому процесі нові інформаційні технології і здійснювати збір, зберігання і обробку даних системи освіти;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Використання сучасних інформаційно-комунікаційних технологій в освітньому процесі;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Підготовка учнів до життя та діяльності в умовах інформаційного суспільства, формування в них навичок самостійного пошуку, оцінювання та систематизації інформації.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Очікувані результати: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Підключення всіх користувачів навчального закладу до мережі Інтернет;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Покращення матеріально-технічної бази школи: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комп’ютерної інфраструктури навчального закладу;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медіа- та інформаційна грамотність учасників освітнього процесу, інтеграція медіаосвітніх компонентів у навчальні програми;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Впровадження технологій дистанційного та змішаного навчання;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Удосконалення шкільного сайту і робота з ним;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Оснащення предметних кабінетів інтерактивним устаткуванням.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Інновації сучасної школи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»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Формування навичок читацької культури,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Підвищення рівня читацької грамотності й мотивації школярів до читання книжок за допомогою інформаційно-ігрової електронної  платформи для вдумливих читачів дитячого віку. 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Наповнення е-платформи контентом. </w:t>
      </w:r>
    </w:p>
    <w:p>
      <w:pPr>
        <w:suppressAutoHyphens w:val="true"/>
        <w:spacing w:before="180" w:after="18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Організація  змагань між учасниками освітнього процесу з метою виявлення їхніх обдарувань, розвитку креативності та вольових якостей.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Подаруй дитині здоров’я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»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Школа сприяння здоров’ю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». 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Залучення педколективу  ЗЗСО до розбудови здорового середовища із застосуванням апробованого інструменту самооцінки і вдосконалення ЗЗСО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Індекс здоров’я школи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Розроблення методичних матеріалів.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Цілі та завдання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Забезпечення здоров`язбережувального навчального середовища всім учасникам освітнього  процесу, в якому немає  місця стресу, страху, а отже не руйнується  здоров`я;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Формування  необхідних  знань, умінь  і  навичок зі  здорового способу життя,  свідомої  добровільної  мотивації  до  збереження  власного  здоров’я та використання учнями  отриманих  знань у повсякденному  житті;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Навчання учнів правилам, нормам безпечної поведінки, виховання в школярів відповідального ставлення до власного здоров’я та  здоров’я оточуючих;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Зміцнення здоров’я молодого покоління; 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умов для особистісного розвитку дітей із особливими потребами, формування освітньо-розвивального середовища для них шляхом забезпечення психолого-педагогічного, медико-соціального супроводу;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Робота школи як школи сприяння здоров’ю;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Виховання енергетично та екологічно обізнаної особистості, відповідального і свідомого майбутнього споживача енергоресурсів.</w:t>
      </w: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Шляхи реалізації проєкту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Мета: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Впровадження  здоров’язбережувальних технологій  в освітній процес;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Спрямування виховної роботи та позаурочної роботи  на пропедевтику захворювань, збереження життя та здоров’я,  формування  культури  здоров`я.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безпечного, комфортного середовища для всіх учасників освітнього процесу 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авчання учнів правилам, нормам і навичкам безпечної поведінки.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морально безпечного освітнього простору формування позитивного мікроклімату та толерантної міжособистісної взаємодії в ході виховної роботи закладу.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Очікувані результати: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Формування ціннісного ставлення до здоров'я, що включає свідоме й відповідальне ставлення учнів, батьків та вчителів до своєї поведінки, яка впливає на стан здоров'я;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гігієнічних умов, що забезпечить оптимізацію освітнього процесу та валеологізацію життєвого середовища дітей та вчителів у школі;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Збільшення обсягу рухової активності дітей, вчителів відповідно до індивідуальної фізіологічної потреби у фізичному навантаженні;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Скоординувати зусилля педагогічної, батьківської громадськості для попередження булінгу, протиправних дій та вчинків серед здобувачів освіти.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Навчити дітей знаходити вихід із кризових ситуацій с ситуацій та захищати себе від усіх видів насильства (булінгу).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Підпроєкт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Навчання дітей з особливими освітніми потребами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Мета: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Розширення практики індивідуального навчання, створення інклюзивних класів  для навчання дітей з особливими освітніми потребами;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умов для особистісного розвитку дітей із особливими потребами, формування освітньо-розвивального середовища для них шляхом забезпечення психолого-педагогічного, медико-соціального супроводу.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Надання консультативних послуг батькам дітей з особливими освітніми потребами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Очікувані результати: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Розвиток толерантного ставлення до дітей з особливими освітніми потребами з боку однолітків, педагогів, батьків, громадськості; соціалізація дітей з особливими потребами в соціумі;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Підвищення фахового рівня педагогічних працівників з питань навчання учнів з особливими потребами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Капітальний ремонт  та утеплення фасаду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Завдання стратегії, якому відповідає проєкт: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Впровадження енергоефективних проєктів, скерованих на термомодернізацію житлових будинків та зменшення споживання паливно-енергетичних ресурсів населенням.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Мета проєкту: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Підвищення енергетичної ефективності будівель установ бюджетної сфери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Завдання проєкту: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Провести капітальний ремонт  та утеплення фасаду 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Опис проблеми, на вирішення якої спрямований проєкт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Економія енергоносіїв та ремонт фасаду школи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Очікувані результати від реалізації проєкту: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Економія витрат енергоносіїв на 40-50 %. Збереження якості будівлі школи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Основні заходи проєкту: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Розробка проектно-кошторисної документації, Прийняття рішення про фінансування проекту. Реалізація проекту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Період реалізації проєкту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2022 рік</w:t>
      </w:r>
    </w:p>
    <w:p>
      <w:pPr>
        <w:spacing w:before="0" w:after="0" w:line="360"/>
        <w:ind w:right="26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180" w:after="18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80" w:after="18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