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78" w:rsidRPr="007B0B78" w:rsidRDefault="007B0B78" w:rsidP="007B0B78">
      <w:pPr>
        <w:pStyle w:val="Prrafodelista"/>
        <w:numPr>
          <w:ilvl w:val="0"/>
          <w:numId w:val="1"/>
        </w:numPr>
        <w:tabs>
          <w:tab w:val="left" w:pos="5490"/>
        </w:tabs>
        <w:jc w:val="both"/>
        <w:rPr>
          <w:rFonts w:ascii="Arial" w:hAnsi="Arial" w:cs="Arial"/>
          <w:b/>
          <w:sz w:val="24"/>
        </w:rPr>
      </w:pPr>
      <w:r w:rsidRPr="007B0B78">
        <w:rPr>
          <w:rFonts w:ascii="Arial" w:hAnsi="Arial" w:cs="Arial"/>
          <w:b/>
          <w:sz w:val="24"/>
        </w:rPr>
        <w:t>¿Propuestas de intervención para desarrollar las habilidades cognitivas y el propósito de su uso adecuado?</w:t>
      </w:r>
    </w:p>
    <w:p w:rsidR="007B0B78" w:rsidRPr="007B0B78" w:rsidRDefault="007B0B78" w:rsidP="007B0B78">
      <w:pPr>
        <w:pStyle w:val="Prrafodelista"/>
        <w:tabs>
          <w:tab w:val="left" w:pos="5490"/>
        </w:tabs>
        <w:jc w:val="both"/>
        <w:rPr>
          <w:rFonts w:ascii="Arial" w:hAnsi="Arial" w:cs="Arial"/>
          <w:b/>
          <w:sz w:val="24"/>
        </w:rPr>
      </w:pPr>
    </w:p>
    <w:p w:rsidR="007B0B78" w:rsidRPr="007B0B78" w:rsidRDefault="007B0B78" w:rsidP="007B0B78">
      <w:pPr>
        <w:pStyle w:val="Prrafodelista"/>
        <w:tabs>
          <w:tab w:val="left" w:pos="5490"/>
        </w:tabs>
        <w:jc w:val="both"/>
        <w:rPr>
          <w:rFonts w:ascii="Arial" w:hAnsi="Arial" w:cs="Arial"/>
          <w:b/>
          <w:sz w:val="24"/>
        </w:rPr>
      </w:pPr>
    </w:p>
    <w:p w:rsidR="007B0B78" w:rsidRPr="009A660D" w:rsidRDefault="007B0B78" w:rsidP="007B0B78">
      <w:pPr>
        <w:shd w:val="clear" w:color="auto" w:fill="FFFFFF"/>
        <w:spacing w:before="120" w:after="60" w:line="240" w:lineRule="auto"/>
        <w:ind w:left="240" w:right="240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9A66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Ejercicio 1. Deducir el significado de las palabras según su contexto</w:t>
      </w:r>
    </w:p>
    <w:p w:rsidR="007B0B78" w:rsidRPr="009A660D" w:rsidRDefault="007B0B78" w:rsidP="007B0B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 este ejercicio se </w:t>
      </w:r>
      <w:proofErr w:type="gramStart"/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le</w:t>
      </w:r>
      <w:proofErr w:type="gramEnd"/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muestran a los alumnos diferentes frases en donde se utiliza </w:t>
      </w:r>
      <w:r w:rsidRPr="007B0B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una palabra desconocida en contextos diferentes</w:t>
      </w:r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 El objetivo del ejercicio es que los estudiantes deduzcan de esa manera el significado de la palabra desconocida, es decir, basándose en el contexto y principalmente que conozcan la importancia que tiene el que utilicen sus propias estrategias para llegar a un resultado.</w:t>
      </w:r>
    </w:p>
    <w:p w:rsidR="007B0B78" w:rsidRPr="009A660D" w:rsidRDefault="007B0B78" w:rsidP="007B0B78">
      <w:pPr>
        <w:shd w:val="clear" w:color="auto" w:fill="FFFFFF"/>
        <w:spacing w:before="120" w:after="60" w:line="240" w:lineRule="auto"/>
        <w:ind w:left="240" w:right="240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9A66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br/>
        <w:t>Ejercicio 2. Ensayar diferentes maneras para aprender algo nuevo</w:t>
      </w:r>
    </w:p>
    <w:p w:rsidR="007B0B78" w:rsidRPr="009A660D" w:rsidRDefault="007B0B78" w:rsidP="007B0B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Este </w:t>
      </w:r>
      <w:hyperlink r:id="rId5" w:history="1">
        <w:r w:rsidRPr="007B0B78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tipo de estrategia de aprendizaje</w:t>
        </w:r>
      </w:hyperlink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ayuda a que el alumno conozca diferentes métodos para la adquisición de un nuevo conocimiento, amplíe su visión y pueda escoger el método que le resulte más cómodo o más práctico para aprender.</w:t>
      </w:r>
    </w:p>
    <w:p w:rsidR="007B0B78" w:rsidRPr="009A660D" w:rsidRDefault="007B0B78" w:rsidP="007B0B78">
      <w:pPr>
        <w:shd w:val="clear" w:color="auto" w:fill="FFFFFF"/>
        <w:spacing w:before="60" w:after="0" w:line="240" w:lineRule="auto"/>
        <w:ind w:left="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B0B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Por ejemplo</w:t>
      </w:r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cuando se aprende una palabra nueva, se le puede enseñar haciendo de diferentes maneras como: relacionando la palabra con imágenes, encontrándole un sinónimo con otra palabra que ya conoce, identificándose con el sonido, etc.</w:t>
      </w:r>
    </w:p>
    <w:p w:rsidR="007B0B78" w:rsidRPr="009A660D" w:rsidRDefault="007B0B78" w:rsidP="007B0B78">
      <w:pPr>
        <w:shd w:val="clear" w:color="auto" w:fill="FFFFFF"/>
        <w:spacing w:before="120" w:after="60" w:line="240" w:lineRule="auto"/>
        <w:ind w:left="240" w:right="240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9A66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Ejercicio 3. Ejercicios de autoevaluación</w:t>
      </w:r>
    </w:p>
    <w:p w:rsidR="007B0B78" w:rsidRPr="007B0B78" w:rsidRDefault="007B0B78" w:rsidP="007B0B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Después de haber realizado alguna actividad y de haber aprendido un nuevo tema, se les da un tiempo para que se </w:t>
      </w:r>
      <w:proofErr w:type="spellStart"/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autoevaluen</w:t>
      </w:r>
      <w:proofErr w:type="spellEnd"/>
      <w:r w:rsidRPr="009A660D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 ellos mismos y reflexionen acerca de su desempeño en esa actividad en específico, haciéndose preguntas como por ejemplo: ¿de qué manera puedo mejorar mi desempeño en esta actividad?, ¿qué fue lo que más se me dificultó al realizarla?, ¿qué fue lo que más se me facilitó?, etc.</w:t>
      </w:r>
    </w:p>
    <w:p w:rsidR="007B0B78" w:rsidRPr="007B0B78" w:rsidRDefault="007B0B78" w:rsidP="007B0B78">
      <w:pPr>
        <w:pStyle w:val="Prrafodelista"/>
        <w:tabs>
          <w:tab w:val="left" w:pos="5490"/>
        </w:tabs>
        <w:jc w:val="both"/>
        <w:rPr>
          <w:rFonts w:ascii="Arial" w:hAnsi="Arial" w:cs="Arial"/>
          <w:b/>
          <w:sz w:val="24"/>
        </w:rPr>
      </w:pPr>
    </w:p>
    <w:p w:rsidR="007B0B78" w:rsidRPr="007B0B78" w:rsidRDefault="007B0B78" w:rsidP="007B0B78">
      <w:pPr>
        <w:pStyle w:val="Prrafodelista"/>
        <w:numPr>
          <w:ilvl w:val="0"/>
          <w:numId w:val="1"/>
        </w:numPr>
        <w:tabs>
          <w:tab w:val="left" w:pos="5490"/>
        </w:tabs>
        <w:jc w:val="both"/>
        <w:rPr>
          <w:rFonts w:ascii="Arial" w:hAnsi="Arial" w:cs="Arial"/>
          <w:b/>
          <w:sz w:val="24"/>
        </w:rPr>
      </w:pPr>
      <w:r w:rsidRPr="007B0B78">
        <w:rPr>
          <w:rFonts w:ascii="Arial" w:hAnsi="Arial" w:cs="Arial"/>
          <w:b/>
          <w:sz w:val="24"/>
        </w:rPr>
        <w:t>¿Qué acciones o actividades  deben realizar los estudiantes para adquirir un control de su propio conocimiento?</w:t>
      </w:r>
    </w:p>
    <w:p w:rsidR="007B0B78" w:rsidRPr="007B0B78" w:rsidRDefault="007B0B78" w:rsidP="007B0B78">
      <w:pPr>
        <w:pStyle w:val="Prrafodelista"/>
        <w:tabs>
          <w:tab w:val="left" w:pos="5490"/>
        </w:tabs>
        <w:ind w:lef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B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 enfoque adoptado en el presente inventario, en consonancia con el </w:t>
      </w:r>
      <w:r w:rsidRPr="007B0B78">
        <w:rPr>
          <w:rStyle w:val="nfasis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Marco común europeo de referencia para las lenguas: aprendizaje, enseñanza, evaluación</w:t>
      </w:r>
      <w:r w:rsidRPr="007B0B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(</w:t>
      </w:r>
      <w:r w:rsidRPr="007B0B78">
        <w:rPr>
          <w:rStyle w:val="AcrnimoHTML"/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MCER</w:t>
      </w:r>
      <w:r w:rsidRPr="007B0B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en lo sucesivo)</w:t>
      </w:r>
      <w:hyperlink r:id="rId6" w:anchor="np1n" w:history="1">
        <w:r w:rsidRPr="007B0B78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  <w:vertAlign w:val="superscript"/>
          </w:rPr>
          <w:t>1</w:t>
        </w:r>
      </w:hyperlink>
      <w:r w:rsidRPr="007B0B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concibe los procedimientos de aprendizaje desde la perspectiva de su uso estratégico o condicionado al tipo de tarea al que el aprendiente se enfrente en cada momento. Esto supone la selección, aplicación y evaluación de los procedimientos en virtud de las características y de las exigencias de la tarea o, lo que es lo mismo, el uso consciente e intencionado de los procedimientos con el fin de mejorar el aprendizaje y el uso de la lengua. De otro modo, podría incurrirse en un uso mecánico de los procedimientos de aprendizaje que no redundaría en el desarrollo de est</w:t>
      </w:r>
      <w:bookmarkStart w:id="0" w:name="_GoBack"/>
      <w:bookmarkEnd w:id="0"/>
      <w:r w:rsidRPr="007B0B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rategias.</w:t>
      </w:r>
    </w:p>
    <w:p w:rsidR="007B0B78" w:rsidRPr="007B0B78" w:rsidRDefault="007B0B78" w:rsidP="007B0B78">
      <w:pPr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B0B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Para desarrollar el aprendizaje autónomo o "aprender a aprender" necesita reconocer habilidades o fortalezas como: autoestima integral, procesos cognitivos básicos y superiores, estrategias de aprendizajes eficientes, competencias genéricas, inteligencia emocional  y asertividad (valores) para resolver conflictos de la vida cotidiana y problemas académicos.</w:t>
      </w:r>
    </w:p>
    <w:p w:rsidR="007B0B78" w:rsidRPr="007B0B78" w:rsidRDefault="007B0B78" w:rsidP="007B0B78">
      <w:pPr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B0B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Todas estas habilidades o fortalezas son recursos que ayudan a tomar conciencia y </w:t>
      </w:r>
      <w:proofErr w:type="spellStart"/>
      <w:r w:rsidRPr="007B0B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autocontrolar</w:t>
      </w:r>
      <w:proofErr w:type="spellEnd"/>
      <w:r w:rsidRPr="007B0B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debilidades del aprendizaje pasivo. También logra una visión integral de sí mismo  para analizar todas las variables que influyen en el proceso de aprendizaje (fortalezas y debilidades) en asignaturas que se consideran complejas para no  </w:t>
      </w:r>
      <w:proofErr w:type="spellStart"/>
      <w:r w:rsidRPr="007B0B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autodescalificarse</w:t>
      </w:r>
      <w:proofErr w:type="spellEnd"/>
      <w:r w:rsidRPr="007B0B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</w:t>
      </w:r>
      <w:proofErr w:type="spellStart"/>
      <w:r w:rsidRPr="007B0B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autoestigmatizarse</w:t>
      </w:r>
      <w:proofErr w:type="spellEnd"/>
      <w:r w:rsidRPr="007B0B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Con estas habilidades refuerza sus capacidades de éxitos frente a desafíos y dificultades de aprendizajes, pues sólo necesita  sana autoestima, autodisciplina, esfuerzo, tiempo y perseverancia.</w:t>
      </w:r>
    </w:p>
    <w:p w:rsidR="007B0B78" w:rsidRPr="007B0B78" w:rsidRDefault="007B0B78" w:rsidP="007B0B78">
      <w:pPr>
        <w:pStyle w:val="Prrafodelista"/>
        <w:tabs>
          <w:tab w:val="left" w:pos="5490"/>
        </w:tabs>
        <w:jc w:val="both"/>
        <w:rPr>
          <w:rFonts w:ascii="Arial" w:hAnsi="Arial" w:cs="Arial"/>
          <w:b/>
          <w:sz w:val="24"/>
        </w:rPr>
      </w:pPr>
    </w:p>
    <w:p w:rsidR="007B0B78" w:rsidRPr="007B0B78" w:rsidRDefault="007B0B78" w:rsidP="007B0B78">
      <w:pPr>
        <w:pStyle w:val="Prrafodelista"/>
        <w:numPr>
          <w:ilvl w:val="0"/>
          <w:numId w:val="1"/>
        </w:numPr>
        <w:tabs>
          <w:tab w:val="left" w:pos="5490"/>
        </w:tabs>
        <w:jc w:val="both"/>
        <w:rPr>
          <w:rFonts w:ascii="Arial" w:hAnsi="Arial" w:cs="Arial"/>
          <w:b/>
          <w:sz w:val="24"/>
        </w:rPr>
      </w:pPr>
      <w:r w:rsidRPr="007B0B78">
        <w:rPr>
          <w:rFonts w:ascii="Arial" w:hAnsi="Arial" w:cs="Arial"/>
          <w:b/>
          <w:sz w:val="24"/>
        </w:rPr>
        <w:t>¿Qué instrumentos de evaluación utilizarías para medir las habilidades  metacognitivas de los alumnos y mejorar su proceso intelectual?</w:t>
      </w:r>
    </w:p>
    <w:p w:rsidR="007B0B78" w:rsidRPr="007B0B78" w:rsidRDefault="007B0B78" w:rsidP="007B0B7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B78">
        <w:rPr>
          <w:rFonts w:ascii="Arial" w:hAnsi="Arial" w:cs="Arial"/>
          <w:color w:val="000000" w:themeColor="text1"/>
          <w:sz w:val="24"/>
          <w:szCs w:val="24"/>
        </w:rPr>
        <w:t>Desde nuestro marco teórico la evaluación debe considerar no sólo los </w:t>
      </w:r>
      <w:hyperlink r:id="rId7" w:history="1">
        <w:r w:rsidRPr="007B0B78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productos</w:t>
        </w:r>
      </w:hyperlink>
      <w:r w:rsidRPr="007B0B78">
        <w:rPr>
          <w:rFonts w:ascii="Arial" w:hAnsi="Arial" w:cs="Arial"/>
          <w:color w:val="000000" w:themeColor="text1"/>
          <w:sz w:val="24"/>
          <w:szCs w:val="24"/>
        </w:rPr>
        <w:t> sino también los procesos realizados en </w:t>
      </w:r>
      <w:hyperlink r:id="rId8" w:history="1">
        <w:r w:rsidRPr="007B0B78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el aprendizaje</w:t>
        </w:r>
      </w:hyperlink>
      <w:r w:rsidRPr="007B0B78">
        <w:rPr>
          <w:rFonts w:ascii="Arial" w:hAnsi="Arial" w:cs="Arial"/>
          <w:color w:val="000000" w:themeColor="text1"/>
          <w:sz w:val="24"/>
          <w:szCs w:val="24"/>
        </w:rPr>
        <w:t>. En este sentido se le da amplio </w:t>
      </w:r>
      <w:hyperlink r:id="rId9" w:history="1">
        <w:r w:rsidRPr="007B0B78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valor</w:t>
        </w:r>
      </w:hyperlink>
      <w:r w:rsidRPr="007B0B78">
        <w:rPr>
          <w:rFonts w:ascii="Arial" w:hAnsi="Arial" w:cs="Arial"/>
          <w:color w:val="000000" w:themeColor="text1"/>
          <w:sz w:val="24"/>
          <w:szCs w:val="24"/>
        </w:rPr>
        <w:t> a las tareas de aprendizaje realizadas por los alumnos y la evaluación no es una mera forma de acreditación sino que implica una valoración, en donde se reúnen aspectos cuantitativos y cualitativos. (Vélez, 1996)</w:t>
      </w:r>
    </w:p>
    <w:p w:rsidR="007B0B78" w:rsidRPr="007B0B78" w:rsidRDefault="007B0B78" w:rsidP="007B0B7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129233126"/>
      <w:r w:rsidRPr="007B0B78">
        <w:rPr>
          <w:rFonts w:ascii="Arial" w:hAnsi="Arial" w:cs="Arial"/>
          <w:color w:val="000000" w:themeColor="text1"/>
          <w:sz w:val="24"/>
          <w:szCs w:val="24"/>
        </w:rPr>
        <w:t>Utilizando cuestionarios o instrumentos previamente elaborados</w:t>
      </w:r>
      <w:bookmarkEnd w:id="1"/>
    </w:p>
    <w:p w:rsidR="007B0B78" w:rsidRPr="007B0B78" w:rsidRDefault="007B0B78" w:rsidP="007B0B78">
      <w:pPr>
        <w:tabs>
          <w:tab w:val="left" w:pos="1843"/>
          <w:tab w:val="left" w:pos="5490"/>
        </w:tabs>
        <w:jc w:val="both"/>
        <w:rPr>
          <w:rFonts w:ascii="Arial" w:hAnsi="Arial" w:cs="Arial"/>
          <w:sz w:val="24"/>
          <w:szCs w:val="24"/>
        </w:rPr>
      </w:pPr>
      <w:r w:rsidRPr="007B0B78">
        <w:rPr>
          <w:rFonts w:ascii="Arial" w:hAnsi="Arial" w:cs="Arial"/>
          <w:sz w:val="24"/>
          <w:szCs w:val="24"/>
        </w:rPr>
        <w:t xml:space="preserve">Las nuevas teorías de evaluación prometen que un día los estudiantes serán capaces de llevar el control tanto de sus valoraciones como de su aprendizaje. Roben </w:t>
      </w:r>
      <w:proofErr w:type="spellStart"/>
      <w:r w:rsidRPr="007B0B78">
        <w:rPr>
          <w:rFonts w:ascii="Arial" w:hAnsi="Arial" w:cs="Arial"/>
          <w:sz w:val="24"/>
          <w:szCs w:val="24"/>
        </w:rPr>
        <w:t>Glaser</w:t>
      </w:r>
      <w:proofErr w:type="spellEnd"/>
      <w:r w:rsidRPr="007B0B78">
        <w:rPr>
          <w:rFonts w:ascii="Arial" w:hAnsi="Arial" w:cs="Arial"/>
          <w:sz w:val="24"/>
          <w:szCs w:val="24"/>
        </w:rPr>
        <w:t xml:space="preserve"> dice (1986, pág. 339).</w:t>
      </w:r>
    </w:p>
    <w:p w:rsidR="007B0B78" w:rsidRPr="007B0B78" w:rsidRDefault="007B0B78" w:rsidP="007B0B78">
      <w:pPr>
        <w:tabs>
          <w:tab w:val="left" w:pos="1843"/>
          <w:tab w:val="left" w:pos="5490"/>
        </w:tabs>
        <w:jc w:val="both"/>
        <w:rPr>
          <w:rFonts w:ascii="Arial" w:hAnsi="Arial" w:cs="Arial"/>
          <w:b/>
          <w:sz w:val="24"/>
          <w:szCs w:val="24"/>
        </w:rPr>
      </w:pPr>
      <w:r w:rsidRPr="007B0B78">
        <w:rPr>
          <w:rFonts w:ascii="Arial" w:hAnsi="Arial" w:cs="Arial"/>
          <w:sz w:val="24"/>
          <w:szCs w:val="24"/>
        </w:rPr>
        <w:t>La Universidad de California en Berkeley, intentan desarrollar métodos de evaluación dinámica que puedan ayudar a los profesores a hacer predicciones fiables sobre las habilidades de los estudiantes para aprender y transferir el aprendizaje en varios ámbitos de materias (</w:t>
      </w:r>
      <w:proofErr w:type="spellStart"/>
      <w:r w:rsidRPr="007B0B78">
        <w:rPr>
          <w:rFonts w:ascii="Arial" w:hAnsi="Arial" w:cs="Arial"/>
          <w:sz w:val="24"/>
          <w:szCs w:val="24"/>
        </w:rPr>
        <w:t>Campione</w:t>
      </w:r>
      <w:proofErr w:type="spellEnd"/>
      <w:r w:rsidRPr="007B0B78">
        <w:rPr>
          <w:rFonts w:ascii="Arial" w:hAnsi="Arial" w:cs="Arial"/>
          <w:sz w:val="24"/>
          <w:szCs w:val="24"/>
        </w:rPr>
        <w:t xml:space="preserve"> y Brown 1990).</w:t>
      </w:r>
    </w:p>
    <w:p w:rsidR="007B0B78" w:rsidRPr="007B0B78" w:rsidRDefault="007B0B78" w:rsidP="007B0B78">
      <w:pPr>
        <w:tabs>
          <w:tab w:val="left" w:pos="1843"/>
          <w:tab w:val="left" w:pos="549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90EDF" w:rsidRDefault="00990EDF"/>
    <w:sectPr w:rsidR="00990E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1BF"/>
    <w:multiLevelType w:val="hybridMultilevel"/>
    <w:tmpl w:val="C42660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78"/>
    <w:rsid w:val="00045799"/>
    <w:rsid w:val="007B0B78"/>
    <w:rsid w:val="00990EDF"/>
    <w:rsid w:val="00DA2492"/>
    <w:rsid w:val="00F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B7087-14F8-4C2C-94C1-620055DE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B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0B7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B0B78"/>
    <w:rPr>
      <w:i/>
      <w:iCs/>
    </w:rPr>
  </w:style>
  <w:style w:type="character" w:styleId="AcrnimoHTML">
    <w:name w:val="HTML Acronym"/>
    <w:basedOn w:val="Fuentedeprrafopredeter"/>
    <w:uiPriority w:val="99"/>
    <w:semiHidden/>
    <w:unhideWhenUsed/>
    <w:rsid w:val="007B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ografias.com/trabajos5/teap/teap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ografias.com/trabajos12/elproduc/elproduc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c.cervantes.es/ensenanza/biblioteca_ele/plan_curricular/niveles/13_procedimientos_aprendizaje_introduccion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sicologia-online.com/tipos-de-estrategias-de-aprendizaje-406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nografias.com/trabajos14/nuevmicro/nuevmicro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1</cp:revision>
  <dcterms:created xsi:type="dcterms:W3CDTF">2019-04-03T02:57:00Z</dcterms:created>
  <dcterms:modified xsi:type="dcterms:W3CDTF">2019-04-03T02:58:00Z</dcterms:modified>
</cp:coreProperties>
</file>