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0D" w:rsidRDefault="00677A0D" w:rsidP="00677A0D">
      <w:pPr>
        <w:pStyle w:val="Default"/>
      </w:pPr>
    </w:p>
    <w:p w:rsidR="00677A0D" w:rsidRDefault="00677A0D" w:rsidP="00677A0D">
      <w:pPr>
        <w:pStyle w:val="Default"/>
        <w:jc w:val="center"/>
        <w:rPr>
          <w:b/>
          <w:bCs/>
          <w:sz w:val="22"/>
          <w:szCs w:val="22"/>
        </w:rPr>
      </w:pPr>
      <w:r w:rsidRPr="00677A0D">
        <w:rPr>
          <w:b/>
          <w:bCs/>
          <w:sz w:val="22"/>
          <w:szCs w:val="22"/>
        </w:rPr>
        <w:t>Aspectos de la competencia intelectual</w:t>
      </w:r>
    </w:p>
    <w:p w:rsidR="00A27D15" w:rsidRDefault="00677A0D" w:rsidP="00677A0D">
      <w:pPr>
        <w:shd w:val="clear" w:color="auto" w:fill="FFFFFF"/>
        <w:spacing w:after="0" w:line="235" w:lineRule="atLeast"/>
        <w:jc w:val="right"/>
        <w:rPr>
          <w:i/>
          <w:iCs/>
          <w:sz w:val="16"/>
          <w:szCs w:val="16"/>
          <w:lang w:val="en-US"/>
        </w:rPr>
      </w:pPr>
      <w:r w:rsidRPr="00677A0D">
        <w:rPr>
          <w:i/>
          <w:iCs/>
          <w:sz w:val="16"/>
          <w:szCs w:val="16"/>
          <w:lang w:val="en-US"/>
        </w:rPr>
        <w:t xml:space="preserve">Raymond S. Nickerson, David N. Perkins &amp; Edward </w:t>
      </w:r>
      <w:proofErr w:type="spellStart"/>
      <w:r w:rsidRPr="00677A0D">
        <w:rPr>
          <w:i/>
          <w:iCs/>
          <w:sz w:val="16"/>
          <w:szCs w:val="16"/>
          <w:lang w:val="en-US"/>
        </w:rPr>
        <w:t>E.Smith</w:t>
      </w:r>
      <w:proofErr w:type="spellEnd"/>
    </w:p>
    <w:p w:rsidR="00677A0D" w:rsidRDefault="00677A0D" w:rsidP="00677A0D">
      <w:pPr>
        <w:shd w:val="clear" w:color="auto" w:fill="FFFFFF"/>
        <w:spacing w:after="0" w:line="235" w:lineRule="atLeast"/>
        <w:jc w:val="right"/>
        <w:rPr>
          <w:i/>
          <w:iCs/>
          <w:sz w:val="16"/>
          <w:szCs w:val="16"/>
          <w:lang w:val="en-US"/>
        </w:rPr>
      </w:pPr>
    </w:p>
    <w:tbl>
      <w:tblPr>
        <w:tblStyle w:val="Tablaconcuadrcula"/>
        <w:tblW w:w="0" w:type="auto"/>
        <w:tblLook w:val="04A0" w:firstRow="1" w:lastRow="0" w:firstColumn="1" w:lastColumn="0" w:noHBand="0" w:noVBand="1"/>
      </w:tblPr>
      <w:tblGrid>
        <w:gridCol w:w="2093"/>
        <w:gridCol w:w="7073"/>
      </w:tblGrid>
      <w:tr w:rsidR="00677A0D" w:rsidRPr="00677A0D" w:rsidTr="008715FD">
        <w:tc>
          <w:tcPr>
            <w:tcW w:w="2093" w:type="dxa"/>
          </w:tcPr>
          <w:p w:rsidR="00677A0D" w:rsidRPr="00677A0D" w:rsidRDefault="00677A0D" w:rsidP="00677A0D">
            <w:pPr>
              <w:spacing w:line="235" w:lineRule="atLeast"/>
              <w:jc w:val="both"/>
              <w:rPr>
                <w:rFonts w:ascii="Arial" w:hAnsi="Arial" w:cs="Arial"/>
                <w:b/>
                <w:iCs/>
              </w:rPr>
            </w:pPr>
            <w:r w:rsidRPr="00677A0D">
              <w:rPr>
                <w:rFonts w:ascii="Arial" w:hAnsi="Arial" w:cs="Arial"/>
                <w:b/>
                <w:iCs/>
              </w:rPr>
              <w:t>Diferencias entre capacidad y habilidad</w:t>
            </w:r>
          </w:p>
        </w:tc>
        <w:tc>
          <w:tcPr>
            <w:tcW w:w="7073" w:type="dxa"/>
          </w:tcPr>
          <w:p w:rsidR="008715FD" w:rsidRPr="0007407D" w:rsidRDefault="008715FD" w:rsidP="00F6261C">
            <w:pPr>
              <w:spacing w:line="235" w:lineRule="atLeast"/>
              <w:jc w:val="both"/>
              <w:rPr>
                <w:rFonts w:cstheme="minorHAnsi"/>
              </w:rPr>
            </w:pPr>
            <w:r w:rsidRPr="0007407D">
              <w:rPr>
                <w:rFonts w:cstheme="minorHAnsi"/>
                <w:iCs/>
              </w:rPr>
              <w:t xml:space="preserve">Capacidad: </w:t>
            </w:r>
            <w:r w:rsidRPr="0007407D">
              <w:rPr>
                <w:rFonts w:cstheme="minorHAnsi"/>
              </w:rPr>
              <w:t>facultad es básica para el pensamiento y la comunicación humana.</w:t>
            </w:r>
          </w:p>
          <w:p w:rsidR="008715FD" w:rsidRPr="0007407D" w:rsidRDefault="008715FD" w:rsidP="00F6261C">
            <w:pPr>
              <w:spacing w:line="235" w:lineRule="atLeast"/>
              <w:jc w:val="both"/>
              <w:rPr>
                <w:rFonts w:cstheme="minorHAnsi"/>
              </w:rPr>
            </w:pPr>
            <w:r w:rsidRPr="0007407D">
              <w:rPr>
                <w:rFonts w:cstheme="minorHAnsi"/>
              </w:rPr>
              <w:t>Adaptar la propia conducta sobre la base de la experiencia, haciéndola más eficiente para hacer frente al medio que nos rodea.</w:t>
            </w:r>
          </w:p>
          <w:p w:rsidR="00F6261C" w:rsidRPr="0007407D" w:rsidRDefault="00F6261C" w:rsidP="00F6261C">
            <w:pPr>
              <w:spacing w:line="235" w:lineRule="atLeast"/>
              <w:jc w:val="both"/>
              <w:rPr>
                <w:rFonts w:cstheme="minorHAnsi"/>
              </w:rPr>
            </w:pPr>
            <w:r w:rsidRPr="0007407D">
              <w:rPr>
                <w:rFonts w:cstheme="minorHAnsi"/>
              </w:rPr>
              <w:t>A</w:t>
            </w:r>
            <w:r w:rsidRPr="0007407D">
              <w:rPr>
                <w:rFonts w:cstheme="minorHAnsi"/>
              </w:rPr>
              <w:t>banico representativo de los tipos de capacidades sin las que probablemente no podríamos considerar que una máquina es inteligente</w:t>
            </w:r>
          </w:p>
          <w:p w:rsidR="008715FD" w:rsidRPr="0007407D" w:rsidRDefault="008715FD" w:rsidP="00F6261C">
            <w:pPr>
              <w:spacing w:line="235" w:lineRule="atLeast"/>
              <w:jc w:val="both"/>
              <w:rPr>
                <w:rFonts w:cstheme="minorHAnsi"/>
              </w:rPr>
            </w:pPr>
            <w:r w:rsidRPr="0007407D">
              <w:rPr>
                <w:rFonts w:cstheme="minorHAnsi"/>
              </w:rPr>
              <w:t>Habilidades: factor general de la inteligencia, estamos de acuerdo en que la inteligencia se manifiesta de muchas maneras y en que es probable que las personas que por lo general consideramos como especialmente inteligentes den pruebas de poseer una serie de habilidades intelectuales.</w:t>
            </w:r>
          </w:p>
          <w:p w:rsidR="008715FD" w:rsidRPr="0007407D" w:rsidRDefault="00F6261C" w:rsidP="00677A0D">
            <w:pPr>
              <w:spacing w:line="235" w:lineRule="atLeast"/>
              <w:jc w:val="both"/>
              <w:rPr>
                <w:rFonts w:cstheme="minorHAnsi"/>
              </w:rPr>
            </w:pPr>
            <w:proofErr w:type="spellStart"/>
            <w:r w:rsidRPr="0007407D">
              <w:rPr>
                <w:rFonts w:cstheme="minorHAnsi"/>
              </w:rPr>
              <w:t>Sternberg</w:t>
            </w:r>
            <w:proofErr w:type="spellEnd"/>
            <w:r w:rsidRPr="0007407D">
              <w:rPr>
                <w:rFonts w:cstheme="minorHAnsi"/>
              </w:rPr>
              <w:t xml:space="preserve"> (1981) ha presentado un enfoque de la</w:t>
            </w:r>
            <w:r w:rsidRPr="0007407D">
              <w:rPr>
                <w:rFonts w:cstheme="minorHAnsi"/>
              </w:rPr>
              <w:t xml:space="preserve"> </w:t>
            </w:r>
            <w:r w:rsidRPr="0007407D">
              <w:rPr>
                <w:rFonts w:cstheme="minorHAnsi"/>
              </w:rPr>
              <w:t>inteligencia vista como un conjunto de habilidades para pensar y aprender que se</w:t>
            </w:r>
            <w:r w:rsidRPr="0007407D">
              <w:rPr>
                <w:rFonts w:cstheme="minorHAnsi"/>
              </w:rPr>
              <w:t xml:space="preserve"> </w:t>
            </w:r>
            <w:r w:rsidRPr="0007407D">
              <w:rPr>
                <w:rFonts w:cstheme="minorHAnsi"/>
              </w:rPr>
              <w:t>emplean en la solución de problemas académicos y cotidianos y que se pueden</w:t>
            </w:r>
            <w:r w:rsidRPr="0007407D">
              <w:rPr>
                <w:rFonts w:cstheme="minorHAnsi"/>
              </w:rPr>
              <w:t xml:space="preserve"> </w:t>
            </w:r>
            <w:r w:rsidRPr="0007407D">
              <w:rPr>
                <w:rFonts w:cstheme="minorHAnsi"/>
              </w:rPr>
              <w:t>diagnosticar y analizar por separado.</w:t>
            </w:r>
          </w:p>
        </w:tc>
      </w:tr>
      <w:tr w:rsidR="00677A0D" w:rsidRPr="00677A0D" w:rsidTr="008715FD">
        <w:tc>
          <w:tcPr>
            <w:tcW w:w="2093" w:type="dxa"/>
          </w:tcPr>
          <w:p w:rsidR="00677A0D" w:rsidRPr="00677A0D" w:rsidRDefault="008715FD" w:rsidP="00677A0D">
            <w:pPr>
              <w:spacing w:line="235" w:lineRule="atLeast"/>
              <w:jc w:val="both"/>
              <w:rPr>
                <w:rFonts w:ascii="Arial" w:hAnsi="Arial" w:cs="Arial"/>
                <w:b/>
                <w:iCs/>
              </w:rPr>
            </w:pPr>
            <w:r>
              <w:rPr>
                <w:rFonts w:ascii="Arial" w:hAnsi="Arial" w:cs="Arial"/>
                <w:b/>
                <w:iCs/>
              </w:rPr>
              <w:t>Explicaciones sobre inteligencia</w:t>
            </w:r>
          </w:p>
        </w:tc>
        <w:tc>
          <w:tcPr>
            <w:tcW w:w="7073" w:type="dxa"/>
          </w:tcPr>
          <w:p w:rsidR="008715FD" w:rsidRPr="0007407D" w:rsidRDefault="008715FD" w:rsidP="00677A0D">
            <w:pPr>
              <w:spacing w:line="235" w:lineRule="atLeast"/>
              <w:jc w:val="both"/>
              <w:rPr>
                <w:rFonts w:cstheme="minorHAnsi"/>
              </w:rPr>
            </w:pPr>
            <w:r w:rsidRPr="0007407D">
              <w:rPr>
                <w:rFonts w:cstheme="minorHAnsi"/>
              </w:rPr>
              <w:t>La inteligencia como una propiedad de los seres humanos como especie, sin implicar' necesariamente que los seres humanos la tengan en exclusiva.</w:t>
            </w:r>
          </w:p>
          <w:p w:rsidR="00677A0D" w:rsidRPr="0007407D" w:rsidRDefault="008715FD" w:rsidP="00677A0D">
            <w:pPr>
              <w:spacing w:line="235" w:lineRule="atLeast"/>
              <w:jc w:val="both"/>
              <w:rPr>
                <w:rFonts w:cstheme="minorHAnsi"/>
              </w:rPr>
            </w:pPr>
            <w:proofErr w:type="spellStart"/>
            <w:r w:rsidRPr="0007407D">
              <w:rPr>
                <w:rFonts w:cstheme="minorHAnsi"/>
              </w:rPr>
              <w:t>Sternberg</w:t>
            </w:r>
            <w:proofErr w:type="spellEnd"/>
            <w:r w:rsidRPr="0007407D">
              <w:rPr>
                <w:rFonts w:cstheme="minorHAnsi"/>
              </w:rPr>
              <w:t xml:space="preserve"> (1981) ha presentado un enfoque de la inteligencia vista como un conjunto de habilidades para pensar y aprender que se emplean en la solución de problemas académicos y cotidianos y que se pueden diagnosticar y analizar por separado.</w:t>
            </w:r>
          </w:p>
          <w:p w:rsidR="008715FD" w:rsidRPr="0007407D" w:rsidRDefault="00F6261C" w:rsidP="00677A0D">
            <w:pPr>
              <w:spacing w:line="235" w:lineRule="atLeast"/>
              <w:jc w:val="both"/>
              <w:rPr>
                <w:rFonts w:cstheme="minorHAnsi"/>
                <w:b/>
                <w:iCs/>
              </w:rPr>
            </w:pPr>
            <w:r w:rsidRPr="0007407D">
              <w:rPr>
                <w:rFonts w:cstheme="minorHAnsi"/>
              </w:rPr>
              <w:t>La</w:t>
            </w:r>
            <w:r w:rsidRPr="0007407D">
              <w:rPr>
                <w:rFonts w:cstheme="minorHAnsi"/>
              </w:rPr>
              <w:t xml:space="preserve"> inteligencia se manifiesta de muchas maneras y en que es probable que las personas que por lo general consideramos como especialmente inteligentes den pruebas de poseer una serie de habilidades intelectuales.</w:t>
            </w:r>
          </w:p>
        </w:tc>
      </w:tr>
      <w:tr w:rsidR="00677A0D" w:rsidRPr="00677A0D" w:rsidTr="008715FD">
        <w:tc>
          <w:tcPr>
            <w:tcW w:w="2093" w:type="dxa"/>
          </w:tcPr>
          <w:p w:rsidR="00677A0D" w:rsidRPr="00677A0D" w:rsidRDefault="008715FD" w:rsidP="00677A0D">
            <w:pPr>
              <w:spacing w:line="235" w:lineRule="atLeast"/>
              <w:jc w:val="both"/>
              <w:rPr>
                <w:rFonts w:ascii="Arial" w:hAnsi="Arial" w:cs="Arial"/>
                <w:b/>
                <w:iCs/>
              </w:rPr>
            </w:pPr>
            <w:r>
              <w:rPr>
                <w:rFonts w:ascii="Arial" w:hAnsi="Arial" w:cs="Arial"/>
                <w:b/>
                <w:iCs/>
              </w:rPr>
              <w:t>Capacidad de pensar vista como habilidad</w:t>
            </w:r>
          </w:p>
        </w:tc>
        <w:tc>
          <w:tcPr>
            <w:tcW w:w="7073" w:type="dxa"/>
          </w:tcPr>
          <w:p w:rsidR="00677A0D" w:rsidRPr="0007407D" w:rsidRDefault="00F6261C" w:rsidP="00677A0D">
            <w:pPr>
              <w:spacing w:line="235" w:lineRule="atLeast"/>
              <w:jc w:val="both"/>
              <w:rPr>
                <w:rFonts w:cstheme="minorHAnsi"/>
              </w:rPr>
            </w:pPr>
            <w:proofErr w:type="spellStart"/>
            <w:r w:rsidRPr="0007407D">
              <w:rPr>
                <w:rFonts w:cstheme="minorHAnsi"/>
              </w:rPr>
              <w:t>Narveson</w:t>
            </w:r>
            <w:proofErr w:type="spellEnd"/>
            <w:r w:rsidRPr="0007407D">
              <w:rPr>
                <w:rFonts w:cstheme="minorHAnsi"/>
              </w:rPr>
              <w:t xml:space="preserve"> (1980) pone de relieve que las personas pueden tener un pensamiento formal en determinadas tareas y un nivel concreto en otras debido a razones tales como la motivación, la familiaridad y el condicionamiento social.</w:t>
            </w:r>
          </w:p>
          <w:p w:rsidR="00F6261C" w:rsidRPr="0007407D" w:rsidRDefault="00F6261C" w:rsidP="00677A0D">
            <w:pPr>
              <w:spacing w:line="235" w:lineRule="atLeast"/>
              <w:jc w:val="both"/>
              <w:rPr>
                <w:rFonts w:cstheme="minorHAnsi"/>
              </w:rPr>
            </w:pPr>
            <w:r w:rsidRPr="0007407D">
              <w:rPr>
                <w:rFonts w:cstheme="minorHAnsi"/>
              </w:rPr>
              <w:t>Si uno cree que la capacidad de pensar es una simple consecuencia de la inteligencia -cuanto más inteligente sea una persona, mayor será su capacidad de pensar-, la implicación salta a la vista.</w:t>
            </w:r>
            <w:r w:rsidRPr="0007407D">
              <w:rPr>
                <w:rFonts w:cstheme="minorHAnsi"/>
              </w:rPr>
              <w:t xml:space="preserve"> </w:t>
            </w:r>
            <w:r w:rsidRPr="0007407D">
              <w:rPr>
                <w:rFonts w:cstheme="minorHAnsi"/>
              </w:rPr>
              <w:t>El único modo de esperar un aumento de la capacidad de pensar residirá en un aumento de la inteligencia, lo que convierte en un asunto clave la cuestión de si la inteligencia es modificable mediante entrenamiento.</w:t>
            </w:r>
          </w:p>
          <w:p w:rsidR="00F6261C" w:rsidRPr="0007407D" w:rsidRDefault="00F6261C" w:rsidP="00F6261C">
            <w:pPr>
              <w:spacing w:line="235" w:lineRule="atLeast"/>
              <w:jc w:val="both"/>
              <w:rPr>
                <w:rFonts w:cstheme="minorHAnsi"/>
                <w:b/>
                <w:iCs/>
              </w:rPr>
            </w:pPr>
            <w:r w:rsidRPr="0007407D">
              <w:rPr>
                <w:rFonts w:cstheme="minorHAnsi"/>
              </w:rPr>
              <w:t>Es arriesgado, por lo tanto, suponer que porque un estudiante da pruebas de su capacidad (o incapacidad) de pensar formalmente en una clase o una disciplina, va a hacerla necesariamente también en otras.</w:t>
            </w:r>
          </w:p>
        </w:tc>
      </w:tr>
      <w:tr w:rsidR="00677A0D" w:rsidRPr="00677A0D" w:rsidTr="008715FD">
        <w:tc>
          <w:tcPr>
            <w:tcW w:w="2093" w:type="dxa"/>
          </w:tcPr>
          <w:p w:rsidR="00677A0D" w:rsidRPr="00677A0D" w:rsidRDefault="008715FD" w:rsidP="00677A0D">
            <w:pPr>
              <w:spacing w:line="235" w:lineRule="atLeast"/>
              <w:jc w:val="both"/>
              <w:rPr>
                <w:rFonts w:ascii="Arial" w:hAnsi="Arial" w:cs="Arial"/>
                <w:b/>
                <w:iCs/>
              </w:rPr>
            </w:pPr>
            <w:r>
              <w:rPr>
                <w:rFonts w:ascii="Arial" w:hAnsi="Arial" w:cs="Arial"/>
                <w:b/>
                <w:iCs/>
              </w:rPr>
              <w:t>Capacidades que dan cuenta de la inteligencia</w:t>
            </w:r>
          </w:p>
        </w:tc>
        <w:tc>
          <w:tcPr>
            <w:tcW w:w="7073" w:type="dxa"/>
          </w:tcPr>
          <w:p w:rsidR="00F6261C" w:rsidRPr="00F6261C" w:rsidRDefault="00F6261C" w:rsidP="00F6261C">
            <w:pPr>
              <w:autoSpaceDE w:val="0"/>
              <w:autoSpaceDN w:val="0"/>
              <w:adjustRightInd w:val="0"/>
              <w:rPr>
                <w:rFonts w:cstheme="minorHAnsi"/>
                <w:color w:val="000000"/>
              </w:rPr>
            </w:pPr>
            <w:r w:rsidRPr="00F6261C">
              <w:rPr>
                <w:rFonts w:cstheme="minorHAnsi"/>
                <w:color w:val="000000"/>
              </w:rPr>
              <w:t xml:space="preserve">La </w:t>
            </w:r>
            <w:r w:rsidRPr="00F6261C">
              <w:rPr>
                <w:rFonts w:cstheme="minorHAnsi"/>
                <w:i/>
                <w:iCs/>
                <w:color w:val="000000"/>
              </w:rPr>
              <w:t xml:space="preserve">capacidad </w:t>
            </w:r>
            <w:r w:rsidRPr="00F6261C">
              <w:rPr>
                <w:rFonts w:cstheme="minorHAnsi"/>
                <w:color w:val="000000"/>
              </w:rPr>
              <w:t xml:space="preserve">de </w:t>
            </w:r>
            <w:r w:rsidRPr="00F6261C">
              <w:rPr>
                <w:rFonts w:cstheme="minorHAnsi"/>
                <w:i/>
                <w:iCs/>
                <w:color w:val="000000"/>
              </w:rPr>
              <w:t xml:space="preserve">clasificar patrones </w:t>
            </w:r>
          </w:p>
          <w:p w:rsidR="0007407D" w:rsidRPr="0007407D" w:rsidRDefault="00F6261C" w:rsidP="00F6261C">
            <w:pPr>
              <w:autoSpaceDE w:val="0"/>
              <w:autoSpaceDN w:val="0"/>
              <w:adjustRightInd w:val="0"/>
              <w:rPr>
                <w:rFonts w:cstheme="minorHAnsi"/>
                <w:i/>
                <w:iCs/>
                <w:color w:val="000000"/>
              </w:rPr>
            </w:pPr>
            <w:r w:rsidRPr="00F6261C">
              <w:rPr>
                <w:rFonts w:cstheme="minorHAnsi"/>
                <w:i/>
                <w:iCs/>
                <w:color w:val="000000"/>
              </w:rPr>
              <w:t>La capacidad de modificar adaptativamente la conducta: aprender</w:t>
            </w:r>
          </w:p>
          <w:p w:rsidR="0007407D" w:rsidRPr="0007407D" w:rsidRDefault="0007407D" w:rsidP="0007407D">
            <w:pPr>
              <w:autoSpaceDE w:val="0"/>
              <w:autoSpaceDN w:val="0"/>
              <w:adjustRightInd w:val="0"/>
              <w:rPr>
                <w:rFonts w:cstheme="minorHAnsi"/>
                <w:color w:val="000000"/>
              </w:rPr>
            </w:pPr>
            <w:r w:rsidRPr="0007407D">
              <w:rPr>
                <w:rFonts w:cstheme="minorHAnsi"/>
                <w:i/>
                <w:iCs/>
                <w:color w:val="000000"/>
              </w:rPr>
              <w:t xml:space="preserve">La capacidad del pensamiento deductivo </w:t>
            </w:r>
          </w:p>
          <w:p w:rsidR="0007407D" w:rsidRPr="0007407D" w:rsidRDefault="0007407D" w:rsidP="0007407D">
            <w:pPr>
              <w:autoSpaceDE w:val="0"/>
              <w:autoSpaceDN w:val="0"/>
              <w:adjustRightInd w:val="0"/>
              <w:rPr>
                <w:rFonts w:cstheme="minorHAnsi"/>
                <w:color w:val="000000"/>
              </w:rPr>
            </w:pPr>
            <w:r w:rsidRPr="0007407D">
              <w:rPr>
                <w:rFonts w:cstheme="minorHAnsi"/>
                <w:i/>
                <w:iCs/>
                <w:color w:val="000000"/>
              </w:rPr>
              <w:t xml:space="preserve">La capacidad del razonamiento inductivo: generalizar </w:t>
            </w:r>
          </w:p>
          <w:p w:rsidR="0007407D" w:rsidRPr="0007407D" w:rsidRDefault="0007407D" w:rsidP="0007407D">
            <w:pPr>
              <w:autoSpaceDE w:val="0"/>
              <w:autoSpaceDN w:val="0"/>
              <w:adjustRightInd w:val="0"/>
              <w:rPr>
                <w:rFonts w:cstheme="minorHAnsi"/>
                <w:color w:val="000000"/>
              </w:rPr>
            </w:pPr>
            <w:r w:rsidRPr="0007407D">
              <w:rPr>
                <w:rFonts w:cstheme="minorHAnsi"/>
                <w:i/>
                <w:iCs/>
                <w:color w:val="000000"/>
              </w:rPr>
              <w:t xml:space="preserve">La capacidad de desarrollar y utilizar modelos conceptuales </w:t>
            </w:r>
          </w:p>
          <w:p w:rsidR="0007407D" w:rsidRPr="0007407D" w:rsidRDefault="0007407D" w:rsidP="0007407D">
            <w:pPr>
              <w:autoSpaceDE w:val="0"/>
              <w:autoSpaceDN w:val="0"/>
              <w:adjustRightInd w:val="0"/>
              <w:rPr>
                <w:rFonts w:cstheme="minorHAnsi"/>
                <w:color w:val="000000"/>
              </w:rPr>
            </w:pPr>
            <w:r w:rsidRPr="0007407D">
              <w:rPr>
                <w:rFonts w:cstheme="minorHAnsi"/>
                <w:i/>
                <w:iCs/>
                <w:color w:val="000000"/>
              </w:rPr>
              <w:t xml:space="preserve">La capacidad de entender </w:t>
            </w:r>
          </w:p>
          <w:p w:rsidR="00677A0D" w:rsidRPr="0007407D" w:rsidRDefault="0007407D" w:rsidP="00677A0D">
            <w:pPr>
              <w:spacing w:line="235" w:lineRule="atLeast"/>
              <w:jc w:val="both"/>
              <w:rPr>
                <w:rFonts w:cstheme="minorHAnsi"/>
                <w:b/>
                <w:iCs/>
              </w:rPr>
            </w:pPr>
            <w:r w:rsidRPr="0007407D">
              <w:rPr>
                <w:rFonts w:cstheme="minorHAnsi"/>
              </w:rPr>
              <w:t xml:space="preserve">Es evidente que determinadas capacidades que pueden representar una prueba de inteligencia en algunas culturas, pueden ser poco útiles o poco interesantes en otras (Cole, Gay, </w:t>
            </w:r>
            <w:proofErr w:type="spellStart"/>
            <w:r w:rsidRPr="0007407D">
              <w:rPr>
                <w:rFonts w:cstheme="minorHAnsi"/>
              </w:rPr>
              <w:t>Gllck</w:t>
            </w:r>
            <w:proofErr w:type="spellEnd"/>
            <w:r w:rsidRPr="0007407D">
              <w:rPr>
                <w:rFonts w:cstheme="minorHAnsi"/>
              </w:rPr>
              <w:t xml:space="preserve"> Y Sharp, 1971; </w:t>
            </w:r>
            <w:proofErr w:type="spellStart"/>
            <w:r w:rsidRPr="0007407D">
              <w:rPr>
                <w:rFonts w:cstheme="minorHAnsi"/>
              </w:rPr>
              <w:t>Goodnow</w:t>
            </w:r>
            <w:proofErr w:type="spellEnd"/>
            <w:r w:rsidRPr="0007407D">
              <w:rPr>
                <w:rFonts w:cstheme="minorHAnsi"/>
              </w:rPr>
              <w:t xml:space="preserve">, 1976; </w:t>
            </w:r>
            <w:proofErr w:type="spellStart"/>
            <w:r w:rsidRPr="0007407D">
              <w:rPr>
                <w:rFonts w:cstheme="minorHAnsi"/>
              </w:rPr>
              <w:t>Horn</w:t>
            </w:r>
            <w:proofErr w:type="spellEnd"/>
            <w:r w:rsidRPr="0007407D">
              <w:rPr>
                <w:rFonts w:cstheme="minorHAnsi"/>
              </w:rPr>
              <w:t xml:space="preserve">, 1979; </w:t>
            </w:r>
            <w:proofErr w:type="spellStart"/>
            <w:r w:rsidRPr="0007407D">
              <w:rPr>
                <w:rFonts w:cstheme="minorHAnsi"/>
              </w:rPr>
              <w:t>Laboratory</w:t>
            </w:r>
            <w:proofErr w:type="spellEnd"/>
            <w:r w:rsidRPr="0007407D">
              <w:rPr>
                <w:rFonts w:cstheme="minorHAnsi"/>
              </w:rPr>
              <w:t xml:space="preserve"> </w:t>
            </w:r>
            <w:proofErr w:type="spellStart"/>
            <w:r w:rsidRPr="0007407D">
              <w:rPr>
                <w:rFonts w:cstheme="minorHAnsi"/>
              </w:rPr>
              <w:t>Ofcomparative</w:t>
            </w:r>
            <w:proofErr w:type="spellEnd"/>
            <w:r w:rsidRPr="0007407D">
              <w:rPr>
                <w:rFonts w:cstheme="minorHAnsi"/>
              </w:rPr>
              <w:t xml:space="preserve"> Human </w:t>
            </w:r>
            <w:proofErr w:type="spellStart"/>
            <w:r w:rsidRPr="0007407D">
              <w:rPr>
                <w:rFonts w:cstheme="minorHAnsi"/>
              </w:rPr>
              <w:t>Cognition</w:t>
            </w:r>
            <w:proofErr w:type="spellEnd"/>
            <w:r w:rsidRPr="0007407D">
              <w:rPr>
                <w:rFonts w:cstheme="minorHAnsi"/>
              </w:rPr>
              <w:t>, 1982).</w:t>
            </w:r>
          </w:p>
        </w:tc>
      </w:tr>
    </w:tbl>
    <w:p w:rsidR="0007407D" w:rsidRDefault="0007407D" w:rsidP="00677A0D">
      <w:pPr>
        <w:shd w:val="clear" w:color="auto" w:fill="FFFFFF"/>
        <w:spacing w:after="0" w:line="235" w:lineRule="atLeast"/>
        <w:jc w:val="right"/>
        <w:rPr>
          <w:i/>
          <w:iCs/>
          <w:sz w:val="16"/>
          <w:szCs w:val="16"/>
        </w:rPr>
      </w:pPr>
    </w:p>
    <w:p w:rsidR="0007407D" w:rsidRDefault="0007407D" w:rsidP="0007407D">
      <w:pPr>
        <w:rPr>
          <w:sz w:val="16"/>
          <w:szCs w:val="16"/>
        </w:rPr>
      </w:pPr>
    </w:p>
    <w:p w:rsidR="00677A0D" w:rsidRPr="0007407D" w:rsidRDefault="0007407D" w:rsidP="0007407D">
      <w:pPr>
        <w:jc w:val="both"/>
        <w:rPr>
          <w:rFonts w:ascii="Arial" w:hAnsi="Arial" w:cs="Arial"/>
          <w:b/>
          <w:sz w:val="20"/>
          <w:szCs w:val="20"/>
        </w:rPr>
      </w:pPr>
      <w:r>
        <w:rPr>
          <w:rFonts w:ascii="Arial" w:hAnsi="Arial" w:cs="Arial"/>
          <w:b/>
          <w:sz w:val="20"/>
          <w:szCs w:val="20"/>
        </w:rPr>
        <w:t xml:space="preserve">Lidia López Bonilla                                     4to Semestre                 </w:t>
      </w:r>
      <w:bookmarkStart w:id="0" w:name="_GoBack"/>
      <w:bookmarkEnd w:id="0"/>
      <w:r>
        <w:rPr>
          <w:rFonts w:ascii="Arial" w:hAnsi="Arial" w:cs="Arial"/>
          <w:b/>
          <w:sz w:val="20"/>
          <w:szCs w:val="20"/>
        </w:rPr>
        <w:t xml:space="preserve">                         LESET</w:t>
      </w:r>
    </w:p>
    <w:sectPr w:rsidR="00677A0D" w:rsidRPr="0007407D" w:rsidSect="00677A0D">
      <w:headerReference w:type="default" r:id="rId7"/>
      <w:footerReference w:type="default" r:id="rId8"/>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20" w:rsidRDefault="00C45B20" w:rsidP="00F17D76">
      <w:pPr>
        <w:spacing w:after="0" w:line="240" w:lineRule="auto"/>
      </w:pPr>
      <w:r>
        <w:separator/>
      </w:r>
    </w:p>
  </w:endnote>
  <w:endnote w:type="continuationSeparator" w:id="0">
    <w:p w:rsidR="00C45B20" w:rsidRDefault="00C45B20" w:rsidP="00F1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D76" w:rsidRDefault="00C45B20">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6pt" o:hrpct="0" o:hralign="center" o:hr="t">
          <v:imagedata r:id="rId1" o:title="BD21309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20" w:rsidRDefault="00C45B20" w:rsidP="00F17D76">
      <w:pPr>
        <w:spacing w:after="0" w:line="240" w:lineRule="auto"/>
      </w:pPr>
      <w:r>
        <w:separator/>
      </w:r>
    </w:p>
  </w:footnote>
  <w:footnote w:type="continuationSeparator" w:id="0">
    <w:p w:rsidR="00C45B20" w:rsidRDefault="00C45B20" w:rsidP="00F17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D76" w:rsidRDefault="00C45B2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pt;height:10.15pt" o:hrpct="0" o:hralign="center" o:hr="t">
          <v:imagedata r:id="rId1" o:title="BD21309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76"/>
    <w:rsid w:val="0007407D"/>
    <w:rsid w:val="00677A0D"/>
    <w:rsid w:val="008715FD"/>
    <w:rsid w:val="00A27D15"/>
    <w:rsid w:val="00C45B20"/>
    <w:rsid w:val="00D2003C"/>
    <w:rsid w:val="00DE2065"/>
    <w:rsid w:val="00ED171D"/>
    <w:rsid w:val="00F17D76"/>
    <w:rsid w:val="00F62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D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7D76"/>
  </w:style>
  <w:style w:type="paragraph" w:styleId="Piedepgina">
    <w:name w:val="footer"/>
    <w:basedOn w:val="Normal"/>
    <w:link w:val="PiedepginaCar"/>
    <w:uiPriority w:val="99"/>
    <w:unhideWhenUsed/>
    <w:rsid w:val="00F17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7D76"/>
  </w:style>
  <w:style w:type="table" w:styleId="Tablaconcuadrcula">
    <w:name w:val="Table Grid"/>
    <w:basedOn w:val="Tablanormal"/>
    <w:uiPriority w:val="59"/>
    <w:rsid w:val="00F1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A0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D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7D76"/>
  </w:style>
  <w:style w:type="paragraph" w:styleId="Piedepgina">
    <w:name w:val="footer"/>
    <w:basedOn w:val="Normal"/>
    <w:link w:val="PiedepginaCar"/>
    <w:uiPriority w:val="99"/>
    <w:unhideWhenUsed/>
    <w:rsid w:val="00F17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7D76"/>
  </w:style>
  <w:style w:type="table" w:styleId="Tablaconcuadrcula">
    <w:name w:val="Table Grid"/>
    <w:basedOn w:val="Tablanormal"/>
    <w:uiPriority w:val="59"/>
    <w:rsid w:val="00F1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A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2019-02-18T02:16:00Z</dcterms:created>
  <dcterms:modified xsi:type="dcterms:W3CDTF">2019-02-18T04:19:00Z</dcterms:modified>
</cp:coreProperties>
</file>