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719F" w14:textId="2C82B701" w:rsidR="006237F6" w:rsidRPr="006237F6" w:rsidRDefault="006237F6" w:rsidP="00CD6541">
      <w:pPr>
        <w:spacing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237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Роз’яснення щодо процедури визнання результатів підвищення кваліфікації</w:t>
      </w:r>
    </w:p>
    <w:p w14:paraId="5149373A" w14:textId="6EEB4210" w:rsidR="00CD6541" w:rsidRPr="006237F6" w:rsidRDefault="006237F6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турбує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дивно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початком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змінюються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Чимало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пригадують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торішній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бум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курсами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EdEra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Наплив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шалений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виснула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охочих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зареєструватися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шкіл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дружно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проходили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допомагали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виявилося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CD6541"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89DBE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Зараз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МОН.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Безперечно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підвищувати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логічні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82432" w14:textId="77777777" w:rsidR="00CD6541" w:rsidRPr="006237F6" w:rsidRDefault="00CD6541" w:rsidP="00CD65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C013F0C" w14:textId="77777777" w:rsidR="00CD6541" w:rsidRPr="006237F6" w:rsidRDefault="00CD6541" w:rsidP="00CD65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висуваються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законному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руслі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ліцензії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дозволи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)?</w:t>
      </w:r>
    </w:p>
    <w:p w14:paraId="66DC8D21" w14:textId="77777777" w:rsidR="00CD6541" w:rsidRPr="006237F6" w:rsidRDefault="00CD6541" w:rsidP="00CD65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будь-кого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дізнатися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пройшовши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зарахуються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»?</w:t>
      </w:r>
    </w:p>
    <w:p w14:paraId="361F245F" w14:textId="77777777" w:rsidR="00CD6541" w:rsidRPr="006237F6" w:rsidRDefault="00CD6541" w:rsidP="00CD65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особливої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3C3343D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запитаннями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звернулися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7FF4C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детальні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роз’яснення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вдячні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Любомирі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Мандзій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заступнику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Міністра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9D91A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Види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</w:p>
    <w:p w14:paraId="159ABA20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семінарах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практикумах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тренінгах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майстер-класах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324E1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Стажування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AC1FB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C05F93" w14:textId="77777777" w:rsidR="00CD6541" w:rsidRPr="006237F6" w:rsidRDefault="00CD6541" w:rsidP="00CD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мобільності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F5662" w14:textId="77777777" w:rsidR="00CD6541" w:rsidRPr="006237F6" w:rsidRDefault="00CD6541" w:rsidP="00CD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стажування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1A81E" w14:textId="77777777" w:rsidR="00CD6541" w:rsidRPr="006237F6" w:rsidRDefault="00CD6541" w:rsidP="00CD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самоосвіта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DB81C7" w14:textId="77777777" w:rsidR="00CD6541" w:rsidRPr="006237F6" w:rsidRDefault="00CD6541" w:rsidP="00CD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0EAB4D" w14:textId="77777777" w:rsidR="00CD6541" w:rsidRPr="006237F6" w:rsidRDefault="00CD6541" w:rsidP="00CD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CE740C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прописані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26–30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C46F0B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обирає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D55CE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lastRenderedPageBreak/>
        <w:t>Хто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може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підвищувати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педагога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?</w:t>
      </w:r>
    </w:p>
    <w:p w14:paraId="01217198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0F78B5" w14:textId="77777777" w:rsidR="00CD6541" w:rsidRPr="006237F6" w:rsidRDefault="00CD6541" w:rsidP="00CD65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структурний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підрозділ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6A334" w14:textId="77777777" w:rsidR="00CD6541" w:rsidRPr="006237F6" w:rsidRDefault="00CD6541" w:rsidP="00CD65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установа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FFD309" w14:textId="77777777" w:rsidR="00CD6541" w:rsidRPr="006237F6" w:rsidRDefault="00CD6541" w:rsidP="00CD65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4FF59B" w14:textId="77777777" w:rsidR="00CD6541" w:rsidRPr="006237F6" w:rsidRDefault="00CD6541" w:rsidP="00CD65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особа-підприємець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8E268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провадити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69068D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Де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можна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підвищувати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педагогам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?</w:t>
      </w:r>
    </w:p>
    <w:p w14:paraId="572D0C4A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59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№ 2145-VIII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підвищувати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у:</w:t>
      </w:r>
    </w:p>
    <w:p w14:paraId="763D4E24" w14:textId="77777777" w:rsidR="00CD6541" w:rsidRPr="006237F6" w:rsidRDefault="00CD6541" w:rsidP="00CD65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ліцензію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провадять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акредитованою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освітньою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EBC46C" w14:textId="77777777" w:rsidR="00CD6541" w:rsidRPr="006237F6" w:rsidRDefault="00CD6541" w:rsidP="00CD65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DB3B1F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Таким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чином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будь-яка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провадить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7816F0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color w:val="F37465"/>
          <w:sz w:val="28"/>
          <w:szCs w:val="28"/>
        </w:rPr>
        <w:t>Важливо</w:t>
      </w:r>
      <w:proofErr w:type="spellEnd"/>
      <w:r w:rsidRPr="006237F6">
        <w:rPr>
          <w:rFonts w:ascii="Arial" w:eastAsia="Times New Roman" w:hAnsi="Arial" w:cs="Arial"/>
          <w:color w:val="F37465"/>
          <w:sz w:val="28"/>
          <w:szCs w:val="28"/>
        </w:rPr>
        <w:t>! 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вимагається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обов’язкове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ліцензування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акредитації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6––9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14C6A3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Що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мається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увазі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освітньою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діяльністю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?</w:t>
      </w:r>
    </w:p>
    <w:p w14:paraId="5A151FB3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Звертаємо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)),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формальній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неформальній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DF09D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будь-яка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особа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буде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обрана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внесена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річного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плану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4A807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Визнання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результатів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</w:p>
    <w:p w14:paraId="609EEB15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6, 24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що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мають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ліцензію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або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провадять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освітню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діяльність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акредитованою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освітньою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програмою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окремого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lastRenderedPageBreak/>
        <w:t>незалежно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плану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AD7CF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Результати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інших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суб’єктів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визнаються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рішенням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педагогічної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ради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відповідного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закладу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.</w:t>
      </w:r>
      <w:r w:rsidRPr="006237F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мобільності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стажування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самоосвіта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26–30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99FDEA1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Як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проходить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процедура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визнання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результатів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?</w:t>
      </w:r>
    </w:p>
    <w:p w14:paraId="652CAA9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Зважаючи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першочергово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зацікавлені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належній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регламентує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процедурами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визнавати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9567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радами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71DD8" w14:textId="77777777" w:rsidR="00CD6541" w:rsidRPr="006237F6" w:rsidRDefault="00CD6541" w:rsidP="00CD654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Тривалість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</w:p>
    <w:p w14:paraId="0660E92C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proofErr w:type="spellStart"/>
      <w:proofErr w:type="gramStart"/>
      <w:r w:rsidRPr="006237F6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DE00A5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встановлюється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уповноваженим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органом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proofErr w:type="spellStart"/>
      <w:proofErr w:type="gramStart"/>
      <w:r w:rsidRPr="006237F6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CB949B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післядипломної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ЄКТС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10CFE7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встановлюється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годинах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кредитах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ЄКТС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накопичувальною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системою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Один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кредит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ЄКТС — 30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годин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4C9B4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фактичної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годинах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урахування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кредитах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ЄКТС з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BAD0BD" w14:textId="77777777" w:rsidR="00CD6541" w:rsidRPr="006237F6" w:rsidRDefault="00CD6541" w:rsidP="00CD6541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що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варто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звернути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увагу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час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вибору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суб’єкта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підвищення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237F6">
        <w:rPr>
          <w:rFonts w:ascii="Arial" w:eastAsia="Times New Roman" w:hAnsi="Arial" w:cs="Arial"/>
          <w:sz w:val="28"/>
          <w:szCs w:val="28"/>
        </w:rPr>
        <w:t>кваліфікації</w:t>
      </w:r>
      <w:proofErr w:type="spellEnd"/>
      <w:r w:rsidRPr="006237F6">
        <w:rPr>
          <w:rFonts w:ascii="Arial" w:eastAsia="Times New Roman" w:hAnsi="Arial" w:cs="Arial"/>
          <w:sz w:val="28"/>
          <w:szCs w:val="28"/>
        </w:rPr>
        <w:t>?</w:t>
      </w:r>
    </w:p>
    <w:p w14:paraId="59E6AE09" w14:textId="77777777" w:rsidR="00CD6541" w:rsidRPr="006237F6" w:rsidRDefault="00CD6541" w:rsidP="00CD65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Єдиному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державному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реєстрі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осіб-підприємців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ЄДР),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lastRenderedPageBreak/>
        <w:t>зокрема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шляхом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безкоштовного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запиту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AF8523" w14:textId="77777777" w:rsidR="00CD6541" w:rsidRPr="006237F6" w:rsidRDefault="00CD6541" w:rsidP="00CD65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93387A" w14:textId="77777777" w:rsidR="00CD6541" w:rsidRPr="006237F6" w:rsidRDefault="00CD6541" w:rsidP="00CD65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зразка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визначеної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пунктом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згаданого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37F6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 w:rsidRPr="0062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A72F8" w14:textId="77777777" w:rsidR="00CD6541" w:rsidRPr="006237F6" w:rsidRDefault="00CD6541" w:rsidP="00CD654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068A5"/>
          <w:sz w:val="28"/>
          <w:szCs w:val="28"/>
        </w:rPr>
      </w:pPr>
      <w:r w:rsidRPr="006237F6">
        <w:rPr>
          <w:rFonts w:ascii="Tahoma" w:eastAsia="Times New Roman" w:hAnsi="Tahoma" w:cs="Tahoma"/>
          <w:color w:val="3068A5"/>
          <w:sz w:val="28"/>
          <w:szCs w:val="28"/>
        </w:rPr>
        <w:br/>
        <w:t>Джерело: </w:t>
      </w:r>
      <w:hyperlink r:id="rId5" w:history="1">
        <w:r w:rsidRPr="006237F6">
          <w:rPr>
            <w:rFonts w:ascii="Tahoma" w:eastAsia="Times New Roman" w:hAnsi="Tahoma" w:cs="Tahoma"/>
            <w:color w:val="3068A5"/>
            <w:sz w:val="28"/>
            <w:szCs w:val="28"/>
            <w:u w:val="single"/>
          </w:rPr>
          <w:t>https://www.kadrovik.ua/novyny/pidvyshchennya-kvalifikaciyi-pedagogiv-u-mon-poyasnyly-yaki-kursy-zarahuyut-yaki-ni</w:t>
        </w:r>
      </w:hyperlink>
      <w:r w:rsidRPr="006237F6">
        <w:rPr>
          <w:rFonts w:ascii="Tahoma" w:eastAsia="Times New Roman" w:hAnsi="Tahoma" w:cs="Tahoma"/>
          <w:color w:val="3068A5"/>
          <w:sz w:val="28"/>
          <w:szCs w:val="28"/>
        </w:rPr>
        <w:br/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Будь-яке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використання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матеріалів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можливе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лише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за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наявності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 xml:space="preserve"> </w:t>
      </w:r>
      <w:proofErr w:type="spellStart"/>
      <w:r w:rsidRPr="006237F6">
        <w:rPr>
          <w:rFonts w:ascii="Tahoma" w:eastAsia="Times New Roman" w:hAnsi="Tahoma" w:cs="Tahoma"/>
          <w:color w:val="3068A5"/>
          <w:sz w:val="28"/>
          <w:szCs w:val="28"/>
        </w:rPr>
        <w:t>гіперпосилання</w:t>
      </w:r>
      <w:proofErr w:type="spellEnd"/>
      <w:r w:rsidRPr="006237F6">
        <w:rPr>
          <w:rFonts w:ascii="Tahoma" w:eastAsia="Times New Roman" w:hAnsi="Tahoma" w:cs="Tahoma"/>
          <w:color w:val="3068A5"/>
          <w:sz w:val="28"/>
          <w:szCs w:val="28"/>
        </w:rPr>
        <w:t>.</w:t>
      </w:r>
    </w:p>
    <w:p w14:paraId="52614FAB" w14:textId="77777777" w:rsidR="008C15B3" w:rsidRPr="006237F6" w:rsidRDefault="008C15B3">
      <w:pPr>
        <w:rPr>
          <w:sz w:val="28"/>
          <w:szCs w:val="28"/>
        </w:rPr>
      </w:pPr>
    </w:p>
    <w:sectPr w:rsidR="008C15B3" w:rsidRPr="006237F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6959"/>
    <w:multiLevelType w:val="multilevel"/>
    <w:tmpl w:val="77D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3251B"/>
    <w:multiLevelType w:val="multilevel"/>
    <w:tmpl w:val="670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50ED5"/>
    <w:multiLevelType w:val="multilevel"/>
    <w:tmpl w:val="5072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E6B46"/>
    <w:multiLevelType w:val="multilevel"/>
    <w:tmpl w:val="3D0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12F38"/>
    <w:multiLevelType w:val="multilevel"/>
    <w:tmpl w:val="551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5"/>
    <w:rsid w:val="00392805"/>
    <w:rsid w:val="006237F6"/>
    <w:rsid w:val="008C15B3"/>
    <w:rsid w:val="00C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3F0"/>
  <w15:chartTrackingRefBased/>
  <w15:docId w15:val="{A24BE7BA-DC22-49C9-A5B6-32C5388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5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541"/>
    <w:rPr>
      <w:b/>
      <w:bCs/>
    </w:rPr>
  </w:style>
  <w:style w:type="character" w:styleId="a5">
    <w:name w:val="Hyperlink"/>
    <w:basedOn w:val="a0"/>
    <w:uiPriority w:val="99"/>
    <w:semiHidden/>
    <w:unhideWhenUsed/>
    <w:rsid w:val="00CD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rovik.ua/novyny/pidvyshchennya-kvalifikaciyi-pedagogiv-u-mon-poyasnyly-yaki-kursy-zarahuyut-yaki-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3</cp:revision>
  <dcterms:created xsi:type="dcterms:W3CDTF">2020-11-18T21:11:00Z</dcterms:created>
  <dcterms:modified xsi:type="dcterms:W3CDTF">2020-12-17T19:32:00Z</dcterms:modified>
</cp:coreProperties>
</file>