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73" w:rsidRDefault="00D307F9" w:rsidP="00D307F9">
      <w:pPr>
        <w:ind w:left="7513" w:hanging="6946"/>
        <w:jc w:val="center"/>
        <w:rPr>
          <w:b/>
          <w:sz w:val="24"/>
          <w:lang w:val="uk-UA"/>
        </w:rPr>
      </w:pPr>
      <w:r w:rsidRPr="00D307F9">
        <w:rPr>
          <w:b/>
          <w:sz w:val="24"/>
          <w:lang w:val="uk-UA"/>
        </w:rPr>
        <w:t>Теми семінарських занять</w:t>
      </w:r>
      <w:r w:rsidR="00B52173">
        <w:rPr>
          <w:b/>
          <w:sz w:val="24"/>
          <w:lang w:val="uk-UA"/>
        </w:rPr>
        <w:t xml:space="preserve"> </w:t>
      </w:r>
    </w:p>
    <w:p w:rsidR="00D307F9" w:rsidRDefault="00B52173" w:rsidP="00D307F9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 дисципліни «Економіка сільськогосподарського виробництва»</w:t>
      </w:r>
    </w:p>
    <w:p w:rsidR="00B52173" w:rsidRPr="00D307F9" w:rsidRDefault="00B52173" w:rsidP="00D307F9">
      <w:pPr>
        <w:ind w:left="7513" w:hanging="6946"/>
        <w:jc w:val="center"/>
        <w:rPr>
          <w:b/>
          <w:sz w:val="24"/>
          <w:lang w:val="uk-UA"/>
        </w:rPr>
      </w:pPr>
      <w:bookmarkStart w:id="0" w:name="_GoBack"/>
      <w:bookmarkEnd w:id="0"/>
    </w:p>
    <w:tbl>
      <w:tblPr>
        <w:tblW w:w="9887" w:type="dxa"/>
        <w:tblInd w:w="25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D307F9" w:rsidRPr="00D307F9" w:rsidTr="00656DF9">
        <w:tc>
          <w:tcPr>
            <w:tcW w:w="1289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№</w:t>
            </w:r>
          </w:p>
          <w:p w:rsidR="00D307F9" w:rsidRPr="00D307F9" w:rsidRDefault="00D307F9" w:rsidP="00656DF9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Кількість</w:t>
            </w:r>
          </w:p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годин</w:t>
            </w:r>
          </w:p>
        </w:tc>
      </w:tr>
      <w:tr w:rsidR="00D307F9" w:rsidRPr="00D307F9" w:rsidTr="00656DF9">
        <w:tc>
          <w:tcPr>
            <w:tcW w:w="1289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307F9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Економіка основних галузей сільського господарства</w:t>
            </w:r>
          </w:p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c>
          <w:tcPr>
            <w:tcW w:w="8340" w:type="dxa"/>
            <w:gridSpan w:val="2"/>
            <w:shd w:val="clear" w:color="auto" w:fill="auto"/>
            <w:vAlign w:val="center"/>
          </w:tcPr>
          <w:p w:rsidR="00D307F9" w:rsidRPr="00D307F9" w:rsidRDefault="00D307F9" w:rsidP="00656DF9">
            <w:pPr>
              <w:rPr>
                <w:b/>
                <w:i/>
                <w:sz w:val="24"/>
                <w:lang w:val="uk-UA"/>
              </w:rPr>
            </w:pPr>
            <w:r w:rsidRPr="00D307F9">
              <w:rPr>
                <w:b/>
                <w:i/>
                <w:sz w:val="24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</w:tbl>
    <w:p w:rsidR="00D307F9" w:rsidRPr="00D307F9" w:rsidRDefault="00D307F9" w:rsidP="00D307F9">
      <w:pPr>
        <w:ind w:left="7513" w:hanging="6946"/>
        <w:jc w:val="center"/>
        <w:rPr>
          <w:sz w:val="24"/>
          <w:lang w:val="uk-UA"/>
        </w:rPr>
      </w:pPr>
    </w:p>
    <w:p w:rsidR="00D307F9" w:rsidRPr="00D307F9" w:rsidRDefault="00D307F9" w:rsidP="00D307F9">
      <w:pPr>
        <w:ind w:left="7513" w:hanging="6946"/>
        <w:jc w:val="center"/>
        <w:rPr>
          <w:b/>
          <w:sz w:val="24"/>
          <w:lang w:val="uk-UA"/>
        </w:rPr>
      </w:pPr>
      <w:r w:rsidRPr="00D307F9">
        <w:rPr>
          <w:b/>
          <w:sz w:val="24"/>
          <w:lang w:val="uk-UA"/>
        </w:rPr>
        <w:t>Практична робота</w:t>
      </w:r>
    </w:p>
    <w:tbl>
      <w:tblPr>
        <w:tblW w:w="10112" w:type="dxa"/>
        <w:tblInd w:w="25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898"/>
      </w:tblGrid>
      <w:tr w:rsidR="00D307F9" w:rsidRPr="00D307F9" w:rsidTr="00656DF9">
        <w:trPr>
          <w:trHeight w:val="40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№</w:t>
            </w:r>
          </w:p>
          <w:p w:rsidR="00D307F9" w:rsidRPr="00D307F9" w:rsidRDefault="00D307F9" w:rsidP="00656DF9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Перелік практичних занять</w:t>
            </w:r>
          </w:p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Кількість</w:t>
            </w:r>
          </w:p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годин</w:t>
            </w:r>
          </w:p>
        </w:tc>
      </w:tr>
      <w:tr w:rsidR="00D307F9" w:rsidRPr="00D307F9" w:rsidTr="00656DF9">
        <w:trPr>
          <w:trHeight w:val="862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07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Визначення показників рівня інтенсивності та економічної ефективності використання землі, виявлення шляхів їх поліпшення (на прикладі конкретних господарств різних форм власності).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40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забезпеченості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трудовими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ресурсами та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рівня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продуктивності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праці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по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господарству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цілому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окремих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галузях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видах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продукції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(на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прикладі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конкретних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господарств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різних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форм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власності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40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забезпеченості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розміру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стану,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руху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фондів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структури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оборотних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фондів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оборотних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фондів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інвестицій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оцінка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ступеня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ризику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реалізації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інвестиційного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проекту</w:t>
            </w:r>
            <w:r w:rsidRPr="00D307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1738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4</w:t>
            </w:r>
          </w:p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енергетичних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рівня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механізації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виробничих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процесів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підприємства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тракторів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комбайнів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вантажних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автомобілів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D30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Визначення показників рівня, результату та економічної ефективності інтенсифікації господарства та його окремих галузей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40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307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Визначення виробничого напрямку аграрних підприємств, їх розміру та рівня спеціалізації.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економічної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спеціалізації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конкретного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підприємства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галузей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40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структури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собівартості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окремих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видів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продукції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рослинництва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тваринництва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конкретного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господарства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оцінка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її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динаміки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Обчислення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собівартості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видів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продукції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рослинництва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тваринництва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допоміжних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промислових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виробництв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40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0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Визначення середньої реалізаційної ціни на сільськогосподарську продукцію. Розрахунок оптових і роздрібних цін на продукцію у різних галузях.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1090"/>
        </w:trPr>
        <w:tc>
          <w:tcPr>
            <w:tcW w:w="851" w:type="dxa"/>
            <w:shd w:val="clear" w:color="auto" w:fill="auto"/>
            <w:vAlign w:val="center"/>
          </w:tcPr>
          <w:p w:rsidR="00D307F9" w:rsidRPr="00D307F9" w:rsidRDefault="00D307F9" w:rsidP="00656DF9">
            <w:pPr>
              <w:ind w:hanging="142"/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07F9" w:rsidRPr="00D307F9" w:rsidRDefault="00D307F9" w:rsidP="00656DF9">
            <w:pPr>
              <w:pStyle w:val="1"/>
              <w:shd w:val="clear" w:color="auto" w:fill="auto"/>
              <w:spacing w:before="0" w:line="240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економічної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виробництва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по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підприємству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по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окремих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видах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продукції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рослинництва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тваринництва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рівня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рентабельності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окремих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видів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продукції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по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господарству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цілому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економічної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окремих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технологічних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застосування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нової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техніки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технології</w:t>
            </w:r>
            <w:proofErr w:type="spellEnd"/>
            <w:r w:rsidRPr="00D307F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07F9" w:rsidRPr="00D307F9" w:rsidRDefault="00D307F9" w:rsidP="00656DF9">
            <w:pPr>
              <w:ind w:hanging="6946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sz w:val="24"/>
                <w:lang w:val="uk-UA"/>
              </w:rPr>
            </w:pPr>
            <w:r w:rsidRPr="00D307F9">
              <w:rPr>
                <w:b/>
                <w:sz w:val="24"/>
                <w:lang w:val="uk-UA"/>
              </w:rPr>
              <w:t>2</w:t>
            </w:r>
          </w:p>
        </w:tc>
      </w:tr>
      <w:tr w:rsidR="00D307F9" w:rsidRPr="00D307F9" w:rsidTr="00656DF9">
        <w:trPr>
          <w:trHeight w:val="18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307F9" w:rsidRPr="00D307F9" w:rsidRDefault="00D307F9" w:rsidP="00656DF9">
            <w:pPr>
              <w:rPr>
                <w:b/>
                <w:i/>
                <w:sz w:val="24"/>
                <w:lang w:val="uk-UA"/>
              </w:rPr>
            </w:pPr>
            <w:r w:rsidRPr="00D307F9">
              <w:rPr>
                <w:b/>
                <w:i/>
                <w:sz w:val="24"/>
                <w:lang w:val="uk-UA"/>
              </w:rPr>
              <w:t>Всього годин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307F9" w:rsidRPr="00D307F9" w:rsidRDefault="00D307F9" w:rsidP="00656DF9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D307F9" w:rsidRPr="00D307F9" w:rsidRDefault="00D307F9" w:rsidP="00656DF9">
            <w:pPr>
              <w:jc w:val="center"/>
              <w:rPr>
                <w:b/>
                <w:i/>
                <w:sz w:val="24"/>
                <w:lang w:val="uk-UA"/>
              </w:rPr>
            </w:pPr>
            <w:r w:rsidRPr="00D307F9">
              <w:rPr>
                <w:b/>
                <w:i/>
                <w:sz w:val="24"/>
                <w:lang w:val="uk-UA"/>
              </w:rPr>
              <w:t>16</w:t>
            </w:r>
          </w:p>
        </w:tc>
      </w:tr>
    </w:tbl>
    <w:p w:rsidR="00D307F9" w:rsidRPr="00D307F9" w:rsidRDefault="00D307F9" w:rsidP="00D307F9">
      <w:pPr>
        <w:ind w:left="7513" w:hanging="6946"/>
        <w:rPr>
          <w:sz w:val="24"/>
          <w:lang w:val="uk-UA"/>
        </w:rPr>
      </w:pPr>
      <w:r w:rsidRPr="00D307F9">
        <w:rPr>
          <w:sz w:val="24"/>
          <w:lang w:val="uk-UA"/>
        </w:rPr>
        <w:t xml:space="preserve">                                                     </w:t>
      </w:r>
    </w:p>
    <w:p w:rsidR="00654A4D" w:rsidRPr="00D307F9" w:rsidRDefault="00654A4D"/>
    <w:sectPr w:rsidR="00654A4D" w:rsidRPr="00D30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B61"/>
    <w:multiLevelType w:val="hybridMultilevel"/>
    <w:tmpl w:val="1290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65"/>
    <w:rsid w:val="005C62C4"/>
    <w:rsid w:val="00654A4D"/>
    <w:rsid w:val="00B52173"/>
    <w:rsid w:val="00C469C7"/>
    <w:rsid w:val="00CA2365"/>
    <w:rsid w:val="00D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96A"/>
  <w15:chartTrackingRefBased/>
  <w15:docId w15:val="{2CFDF997-0D34-44DD-AE53-807C0303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D307F9"/>
    <w:rPr>
      <w:spacing w:val="2"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3"/>
    <w:rsid w:val="00D307F9"/>
    <w:pPr>
      <w:shd w:val="clear" w:color="auto" w:fill="FFFFFF"/>
      <w:spacing w:before="420" w:line="206" w:lineRule="exact"/>
      <w:ind w:hanging="1320"/>
    </w:pPr>
    <w:rPr>
      <w:rFonts w:asciiTheme="minorHAnsi" w:eastAsiaTheme="minorHAnsi" w:hAnsiTheme="minorHAnsi" w:cstheme="minorBidi"/>
      <w:spacing w:val="2"/>
      <w:sz w:val="16"/>
      <w:szCs w:val="16"/>
      <w:lang w:val="uk-UA" w:eastAsia="en-US"/>
    </w:rPr>
  </w:style>
  <w:style w:type="character" w:customStyle="1" w:styleId="2">
    <w:name w:val="Основной текст (2)_"/>
    <w:link w:val="20"/>
    <w:rsid w:val="00D307F9"/>
    <w:rPr>
      <w:b/>
      <w:bCs/>
      <w:sz w:val="17"/>
      <w:szCs w:val="17"/>
      <w:shd w:val="clear" w:color="auto" w:fill="FFFFFF"/>
    </w:rPr>
  </w:style>
  <w:style w:type="character" w:customStyle="1" w:styleId="a4">
    <w:name w:val="Основной текст_"/>
    <w:link w:val="10"/>
    <w:rsid w:val="00D307F9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F9"/>
    <w:pPr>
      <w:widowControl w:val="0"/>
      <w:shd w:val="clear" w:color="auto" w:fill="FFFFFF"/>
      <w:spacing w:before="240" w:after="240" w:line="0" w:lineRule="atLeast"/>
      <w:ind w:hanging="136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  <w:style w:type="paragraph" w:customStyle="1" w:styleId="10">
    <w:name w:val="Основной текст1"/>
    <w:basedOn w:val="a"/>
    <w:link w:val="a4"/>
    <w:rsid w:val="00D307F9"/>
    <w:pPr>
      <w:widowControl w:val="0"/>
      <w:shd w:val="clear" w:color="auto" w:fill="FFFFFF"/>
      <w:spacing w:before="120" w:line="202" w:lineRule="exact"/>
      <w:jc w:val="both"/>
    </w:pPr>
    <w:rPr>
      <w:rFonts w:asciiTheme="minorHAnsi" w:eastAsiaTheme="minorHAnsi" w:hAnsiTheme="minorHAnsi" w:cstheme="minorBidi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2019-02-09T17:02:00Z</dcterms:created>
  <dcterms:modified xsi:type="dcterms:W3CDTF">2019-02-09T17:04:00Z</dcterms:modified>
</cp:coreProperties>
</file>