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0B" w:rsidRDefault="006A7E0B" w:rsidP="006A7E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ПЕРЕЛІК ПИТАНЬ ДЛЯ ПРОВЕДЕННЯ  ЗАЛІКУ</w:t>
      </w:r>
    </w:p>
    <w:p w:rsidR="006A7E0B" w:rsidRDefault="006A7E0B" w:rsidP="006A7E0B">
      <w:pPr>
        <w:spacing w:line="312" w:lineRule="auto"/>
        <w:rPr>
          <w:sz w:val="30"/>
          <w:szCs w:val="30"/>
        </w:rPr>
      </w:pP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Походження держави і права.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Система права та її елементи.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Джерела права та їх характеристика.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Загальні засади адміністративного права.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Особливості адміністративно-правових відносин.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Види адміністративної відповідальності.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Загальні засади цивільного права.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Особливості цивільно-правових відносин.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Цивільна правоздатність та цивільна дієздатність.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Поняття власності та права власності. Форми власності в Україні.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Поняття та види цивільно-правових зобов’язань.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Способи забезпечення цивільно-правових зобов</w:t>
      </w:r>
      <w:r>
        <w:rPr>
          <w:sz w:val="28"/>
          <w:szCs w:val="28"/>
          <w:lang w:eastAsia="ko-KR"/>
        </w:rPr>
        <w:t>’язань.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Поняття та порядок укладання господарських договорів.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Основні види господарських договорів, їх характеристика.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Поняття та структура </w:t>
      </w:r>
      <w:proofErr w:type="spellStart"/>
      <w:r>
        <w:rPr>
          <w:sz w:val="28"/>
          <w:szCs w:val="28"/>
          <w:lang w:eastAsia="ko-KR"/>
        </w:rPr>
        <w:t>спадкоємництва</w:t>
      </w:r>
      <w:proofErr w:type="spellEnd"/>
      <w:r>
        <w:rPr>
          <w:sz w:val="28"/>
          <w:szCs w:val="28"/>
          <w:lang w:eastAsia="ko-KR"/>
        </w:rPr>
        <w:t>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</w:t>
      </w:r>
      <w:proofErr w:type="spellStart"/>
      <w:r>
        <w:rPr>
          <w:sz w:val="28"/>
          <w:szCs w:val="28"/>
          <w:lang w:eastAsia="ko-KR"/>
        </w:rPr>
        <w:t>Спадкоємництво</w:t>
      </w:r>
      <w:proofErr w:type="spellEnd"/>
      <w:r>
        <w:rPr>
          <w:sz w:val="28"/>
          <w:szCs w:val="28"/>
          <w:lang w:eastAsia="ko-KR"/>
        </w:rPr>
        <w:t xml:space="preserve"> за законом.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</w:t>
      </w:r>
      <w:proofErr w:type="spellStart"/>
      <w:r>
        <w:rPr>
          <w:sz w:val="28"/>
          <w:szCs w:val="28"/>
          <w:lang w:eastAsia="ko-KR"/>
        </w:rPr>
        <w:t>Спадкоємництво</w:t>
      </w:r>
      <w:proofErr w:type="spellEnd"/>
      <w:r>
        <w:rPr>
          <w:sz w:val="28"/>
          <w:szCs w:val="28"/>
          <w:lang w:eastAsia="ko-KR"/>
        </w:rPr>
        <w:t xml:space="preserve"> за заповітом.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прийняття спадщини.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відсторонення від прийняття спадщини.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вступу в шлюб та його заключення.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розірвання та припинення шлюбу.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Трудовий договір, його види та порядок укладання.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переведення працівників.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Припинення трудового договору (договору про працю).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Розірвання </w:t>
      </w:r>
      <w:proofErr w:type="spellStart"/>
      <w:r>
        <w:rPr>
          <w:sz w:val="28"/>
          <w:szCs w:val="28"/>
          <w:lang w:eastAsia="ko-KR"/>
        </w:rPr>
        <w:t>договру</w:t>
      </w:r>
      <w:proofErr w:type="spellEnd"/>
      <w:r>
        <w:rPr>
          <w:sz w:val="28"/>
          <w:szCs w:val="28"/>
          <w:lang w:eastAsia="ko-KR"/>
        </w:rPr>
        <w:t xml:space="preserve"> про працю (трудового договору) з ініціативи пр</w:t>
      </w:r>
      <w:r>
        <w:rPr>
          <w:sz w:val="28"/>
          <w:szCs w:val="28"/>
          <w:lang w:eastAsia="ko-KR"/>
        </w:rPr>
        <w:t>а</w:t>
      </w:r>
      <w:r>
        <w:rPr>
          <w:sz w:val="28"/>
          <w:szCs w:val="28"/>
          <w:lang w:eastAsia="ko-KR"/>
        </w:rPr>
        <w:t>цівника.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Розірвання </w:t>
      </w:r>
      <w:proofErr w:type="spellStart"/>
      <w:r>
        <w:rPr>
          <w:sz w:val="28"/>
          <w:szCs w:val="28"/>
          <w:lang w:eastAsia="ko-KR"/>
        </w:rPr>
        <w:t>договру</w:t>
      </w:r>
      <w:proofErr w:type="spellEnd"/>
      <w:r>
        <w:rPr>
          <w:sz w:val="28"/>
          <w:szCs w:val="28"/>
          <w:lang w:eastAsia="ko-KR"/>
        </w:rPr>
        <w:t xml:space="preserve"> про працю (трудового </w:t>
      </w:r>
      <w:proofErr w:type="spellStart"/>
      <w:r>
        <w:rPr>
          <w:sz w:val="28"/>
          <w:szCs w:val="28"/>
          <w:lang w:eastAsia="ko-KR"/>
        </w:rPr>
        <w:t>договру</w:t>
      </w:r>
      <w:proofErr w:type="spellEnd"/>
      <w:r>
        <w:rPr>
          <w:sz w:val="28"/>
          <w:szCs w:val="28"/>
          <w:lang w:eastAsia="ko-KR"/>
        </w:rPr>
        <w:t>) з ініціативи роб</w:t>
      </w:r>
      <w:r>
        <w:rPr>
          <w:sz w:val="28"/>
          <w:szCs w:val="28"/>
          <w:lang w:eastAsia="ko-KR"/>
        </w:rPr>
        <w:t>о</w:t>
      </w:r>
      <w:r>
        <w:rPr>
          <w:sz w:val="28"/>
          <w:szCs w:val="28"/>
          <w:lang w:eastAsia="ko-KR"/>
        </w:rPr>
        <w:t>тодавця.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вивільнення працівників.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Норми тривалості робочого часу.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роботи працівників в нічну зміну.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Позаурочні (надурочні) роботи. 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Виключний порядок роботи працівників у вихідні та святкові дня.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Час відпочинку, його види, та характеристика.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Щорічні відпустки. Порядок їх надання.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Соціальні відпустки їх види.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Органи розгляду трудових спорів.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Організація комісій по трудових спорах (КТС). Розгляд трудових спорів в КТС.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Розгляд трудових спорів в судах.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Суб’єкти та об’єкти землеволодіння і землекористування в Україні.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надання земель.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Категорії земель, що формують Земельний Фонд України.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Плата за землю та її види.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Вилучення земель.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Припинення права володіння та права користування земельною діля</w:t>
      </w:r>
      <w:r>
        <w:rPr>
          <w:sz w:val="28"/>
          <w:szCs w:val="28"/>
          <w:lang w:eastAsia="ko-KR"/>
        </w:rPr>
        <w:t>н</w:t>
      </w:r>
      <w:r>
        <w:rPr>
          <w:sz w:val="28"/>
          <w:szCs w:val="28"/>
          <w:lang w:eastAsia="ko-KR"/>
        </w:rPr>
        <w:t>кою.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Поняття кримінального злочину та його склад.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lastRenderedPageBreak/>
        <w:t xml:space="preserve"> Поняття кримінального покарання та його види.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Службові злочини та їх види.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Господарські злочини та їх види.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Структура та компетенції системи господарських судів.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досудового розгляду господарського спору.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Розгляд господарського спору в господарському суді.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Учасники, сторони цивільного процесу.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Порядок розгляду цивільних справ в судах.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Оскарження судових рішень з цивільних справ.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Виконання рішень суду з цивільних справ.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Акт державного управління, їх види та характеристика.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Як здійснюється відшкодування шкоди, завданої внаслідок недоговірних з</w:t>
      </w:r>
      <w:r>
        <w:rPr>
          <w:sz w:val="28"/>
          <w:szCs w:val="28"/>
          <w:lang w:eastAsia="ko-KR"/>
        </w:rPr>
        <w:t>о</w:t>
      </w:r>
      <w:r>
        <w:rPr>
          <w:sz w:val="28"/>
          <w:szCs w:val="28"/>
          <w:lang w:eastAsia="ko-KR"/>
        </w:rPr>
        <w:t>бов’язань.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Назвіть і охарактеризуйте основні форми держав.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Система органів державного управління і їх характеристика.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Суб’єкти цивільно-правових відносин.</w:t>
      </w:r>
    </w:p>
    <w:p w:rsidR="006A7E0B" w:rsidRDefault="006A7E0B" w:rsidP="006A7E0B">
      <w:pPr>
        <w:numPr>
          <w:ilvl w:val="0"/>
          <w:numId w:val="1"/>
        </w:numPr>
        <w:tabs>
          <w:tab w:val="num" w:pos="120"/>
        </w:tabs>
        <w:overflowPunct/>
        <w:autoSpaceDE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Об’єкти цивільно-правових відносин. </w:t>
      </w:r>
    </w:p>
    <w:p w:rsidR="006A7E0B" w:rsidRPr="000C20B3" w:rsidRDefault="006A7E0B" w:rsidP="006A7E0B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0F0"/>
    <w:multiLevelType w:val="hybridMultilevel"/>
    <w:tmpl w:val="52DA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0A"/>
    <w:rsid w:val="00654A4D"/>
    <w:rsid w:val="006A7E0B"/>
    <w:rsid w:val="007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7932-FB73-452F-9E76-A7AD146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0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2019-02-01T12:15:00Z</dcterms:created>
  <dcterms:modified xsi:type="dcterms:W3CDTF">2019-02-01T12:15:00Z</dcterms:modified>
</cp:coreProperties>
</file>