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81" w:rsidRDefault="00453B81" w:rsidP="00453B81">
      <w:pPr>
        <w:ind w:left="142" w:firstLine="425"/>
        <w:jc w:val="center"/>
        <w:rPr>
          <w:b/>
          <w:bCs/>
          <w:lang w:val="uk-UA"/>
        </w:rPr>
      </w:pPr>
      <w:r w:rsidRPr="00AF7929">
        <w:rPr>
          <w:b/>
          <w:bCs/>
          <w:lang w:val="uk-UA"/>
        </w:rPr>
        <w:t>Індивідуальні завдання</w:t>
      </w:r>
      <w:r>
        <w:rPr>
          <w:b/>
          <w:bCs/>
          <w:lang w:val="uk-UA"/>
        </w:rPr>
        <w:t xml:space="preserve"> з дисципліни</w:t>
      </w:r>
    </w:p>
    <w:p w:rsidR="00453B81" w:rsidRDefault="00453B81" w:rsidP="00453B81">
      <w:pPr>
        <w:ind w:left="142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«Українська мова (за професійним спрямуванням)»</w:t>
      </w:r>
    </w:p>
    <w:p w:rsidR="00453B81" w:rsidRDefault="00453B81" w:rsidP="00453B81">
      <w:pPr>
        <w:ind w:left="142" w:firstLine="425"/>
        <w:jc w:val="center"/>
        <w:rPr>
          <w:b/>
          <w:bCs/>
          <w:lang w:val="uk-UA"/>
        </w:rPr>
      </w:pPr>
      <w:bookmarkStart w:id="0" w:name="_GoBack"/>
      <w:bookmarkEnd w:id="0"/>
    </w:p>
    <w:p w:rsidR="00453B81" w:rsidRPr="00AF7929" w:rsidRDefault="00453B81" w:rsidP="00453B81">
      <w:pPr>
        <w:widowControl w:val="0"/>
        <w:ind w:firstLine="540"/>
        <w:jc w:val="both"/>
        <w:rPr>
          <w:lang w:val="uk-UA"/>
        </w:rPr>
      </w:pPr>
      <w:r w:rsidRPr="00AF7929">
        <w:rPr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453B81" w:rsidRPr="00AF7929" w:rsidRDefault="00453B81" w:rsidP="00453B81">
      <w:pPr>
        <w:widowControl w:val="0"/>
        <w:ind w:firstLine="540"/>
        <w:jc w:val="both"/>
      </w:pPr>
      <w:r w:rsidRPr="00AF7929">
        <w:rPr>
          <w:i/>
          <w:iCs/>
          <w:lang w:val="uk-UA"/>
        </w:rPr>
        <w:t>І. Опрацювання літера</w:t>
      </w:r>
      <w:r w:rsidRPr="00AF7929">
        <w:rPr>
          <w:i/>
          <w:iCs/>
        </w:rPr>
        <w:t xml:space="preserve">тури за темою та </w:t>
      </w:r>
      <w:proofErr w:type="spellStart"/>
      <w:r w:rsidRPr="00AF7929">
        <w:rPr>
          <w:i/>
          <w:iCs/>
        </w:rPr>
        <w:t>підготовка</w:t>
      </w:r>
      <w:proofErr w:type="spellEnd"/>
      <w:r w:rsidRPr="00AF7929">
        <w:rPr>
          <w:i/>
          <w:iCs/>
        </w:rPr>
        <w:t xml:space="preserve"> </w:t>
      </w:r>
      <w:proofErr w:type="spellStart"/>
      <w:r w:rsidRPr="00AF7929">
        <w:rPr>
          <w:i/>
          <w:iCs/>
        </w:rPr>
        <w:t>звіту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 w:rsidRPr="00AF7929">
        <w:t xml:space="preserve"> </w:t>
      </w:r>
      <w:proofErr w:type="spellStart"/>
      <w:r w:rsidRPr="00AF7929">
        <w:t>зміст</w:t>
      </w:r>
      <w:proofErr w:type="spellEnd"/>
      <w:r w:rsidRPr="00AF7929">
        <w:t xml:space="preserve"> і структуру:</w:t>
      </w:r>
    </w:p>
    <w:p w:rsidR="00453B81" w:rsidRPr="00F56444" w:rsidRDefault="00453B81" w:rsidP="00453B81">
      <w:pPr>
        <w:widowControl w:val="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AF7929">
        <w:t>Вступ</w:t>
      </w:r>
      <w:proofErr w:type="spellEnd"/>
      <w:r>
        <w:rPr>
          <w:lang w:val="uk-UA"/>
        </w:rPr>
        <w:t>.</w:t>
      </w:r>
    </w:p>
    <w:p w:rsidR="00453B81" w:rsidRPr="00AF7929" w:rsidRDefault="00453B81" w:rsidP="00453B8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uk-UA"/>
        </w:rPr>
        <w:t xml:space="preserve">2. </w:t>
      </w:r>
      <w:proofErr w:type="spellStart"/>
      <w:r w:rsidRPr="00AF7929">
        <w:t>Розкриття</w:t>
      </w:r>
      <w:proofErr w:type="spellEnd"/>
      <w:r w:rsidRPr="00AF7929"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 w:rsidRPr="00AF7929">
        <w:t>аспектів</w:t>
      </w:r>
      <w:proofErr w:type="spellEnd"/>
      <w:r w:rsidRPr="00AF7929">
        <w:t xml:space="preserve"> </w:t>
      </w:r>
      <w:proofErr w:type="spellStart"/>
      <w:r w:rsidRPr="00AF7929">
        <w:t>проблеми</w:t>
      </w:r>
      <w:proofErr w:type="spellEnd"/>
      <w:r w:rsidRPr="00AF7929">
        <w:t>.</w:t>
      </w:r>
    </w:p>
    <w:p w:rsidR="00453B81" w:rsidRPr="00AF7929" w:rsidRDefault="00453B81" w:rsidP="00453B8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uk-UA"/>
        </w:rPr>
        <w:t xml:space="preserve">3. </w:t>
      </w:r>
      <w:proofErr w:type="spellStart"/>
      <w:r w:rsidRPr="00AF7929">
        <w:t>Аналіз</w:t>
      </w:r>
      <w:proofErr w:type="spellEnd"/>
      <w:r w:rsidRPr="00AF7929">
        <w:t xml:space="preserve"> </w:t>
      </w:r>
      <w:proofErr w:type="spellStart"/>
      <w:r w:rsidRPr="00AF7929">
        <w:t>фактичних</w:t>
      </w:r>
      <w:proofErr w:type="spellEnd"/>
      <w:r w:rsidRPr="00AF7929">
        <w:t xml:space="preserve"> та </w:t>
      </w:r>
      <w:proofErr w:type="spellStart"/>
      <w:r w:rsidRPr="00AF7929">
        <w:t>статистичних</w:t>
      </w:r>
      <w:proofErr w:type="spellEnd"/>
      <w:r w:rsidRPr="00AF7929">
        <w:t xml:space="preserve"> </w:t>
      </w:r>
      <w:proofErr w:type="spellStart"/>
      <w:r w:rsidRPr="00AF7929">
        <w:t>даних</w:t>
      </w:r>
      <w:proofErr w:type="spellEnd"/>
      <w:r w:rsidRPr="00AF7929">
        <w:t>.</w:t>
      </w:r>
    </w:p>
    <w:p w:rsidR="00453B81" w:rsidRPr="00F56444" w:rsidRDefault="00453B81" w:rsidP="00453B81">
      <w:pPr>
        <w:widowControl w:val="0"/>
        <w:tabs>
          <w:tab w:val="num" w:pos="1260"/>
        </w:tabs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AF7929">
        <w:t>Висновки</w:t>
      </w:r>
      <w:proofErr w:type="spellEnd"/>
      <w:r>
        <w:rPr>
          <w:lang w:val="uk-UA"/>
        </w:rPr>
        <w:t>.</w:t>
      </w:r>
    </w:p>
    <w:p w:rsidR="00453B81" w:rsidRPr="00F56444" w:rsidRDefault="00453B81" w:rsidP="00453B81">
      <w:pPr>
        <w:widowControl w:val="0"/>
        <w:jc w:val="both"/>
        <w:rPr>
          <w:lang w:val="uk-UA"/>
        </w:rPr>
      </w:pPr>
      <w:r>
        <w:rPr>
          <w:lang w:val="uk-UA"/>
        </w:rPr>
        <w:t xml:space="preserve">5. </w:t>
      </w:r>
      <w:r w:rsidRPr="00AF7929">
        <w:t xml:space="preserve">Список </w:t>
      </w:r>
      <w:proofErr w:type="spellStart"/>
      <w:r w:rsidRPr="00AF7929">
        <w:t>використаної</w:t>
      </w:r>
      <w:proofErr w:type="spellEnd"/>
      <w:r w:rsidRPr="00AF7929">
        <w:t xml:space="preserve"> </w:t>
      </w:r>
      <w:proofErr w:type="spellStart"/>
      <w:r w:rsidRPr="00AF7929">
        <w:t>літератури</w:t>
      </w:r>
      <w:proofErr w:type="spellEnd"/>
      <w:r w:rsidRPr="00AF7929">
        <w:t xml:space="preserve"> та </w:t>
      </w:r>
      <w:proofErr w:type="spellStart"/>
      <w:r w:rsidRPr="00AF7929">
        <w:t>інформаційних</w:t>
      </w:r>
      <w:proofErr w:type="spellEnd"/>
      <w:r w:rsidRPr="00AF7929">
        <w:t xml:space="preserve"> </w:t>
      </w:r>
      <w:proofErr w:type="spellStart"/>
      <w:r w:rsidRPr="00AF7929">
        <w:t>джерел</w:t>
      </w:r>
      <w:proofErr w:type="spellEnd"/>
      <w:r>
        <w:rPr>
          <w:lang w:val="uk-UA"/>
        </w:rPr>
        <w:t>.</w:t>
      </w:r>
    </w:p>
    <w:p w:rsidR="00453B81" w:rsidRPr="00AF7929" w:rsidRDefault="00453B81" w:rsidP="00453B81">
      <w:pPr>
        <w:widowControl w:val="0"/>
        <w:ind w:firstLine="540"/>
        <w:jc w:val="both"/>
        <w:rPr>
          <w:i/>
          <w:iCs/>
        </w:rPr>
      </w:pPr>
      <w:proofErr w:type="spellStart"/>
      <w:r w:rsidRPr="00AF7929">
        <w:rPr>
          <w:i/>
          <w:iCs/>
        </w:rPr>
        <w:t>Обсяг</w:t>
      </w:r>
      <w:proofErr w:type="spellEnd"/>
      <w:r w:rsidRPr="00AF7929">
        <w:rPr>
          <w:i/>
          <w:iCs/>
        </w:rPr>
        <w:t xml:space="preserve"> ІНДЗ – </w:t>
      </w:r>
      <w:r w:rsidRPr="00AF7929">
        <w:rPr>
          <w:i/>
          <w:iCs/>
          <w:lang w:val="uk-UA"/>
        </w:rPr>
        <w:t xml:space="preserve">3-5 </w:t>
      </w:r>
      <w:r>
        <w:rPr>
          <w:i/>
          <w:iCs/>
          <w:lang w:val="uk-UA"/>
        </w:rPr>
        <w:t>с</w:t>
      </w:r>
      <w:proofErr w:type="spellStart"/>
      <w:r w:rsidRPr="00AF7929">
        <w:rPr>
          <w:i/>
          <w:iCs/>
        </w:rPr>
        <w:t>торінок</w:t>
      </w:r>
      <w:proofErr w:type="spellEnd"/>
      <w:r w:rsidRPr="00AF7929">
        <w:rPr>
          <w:i/>
          <w:iCs/>
        </w:rPr>
        <w:t xml:space="preserve"> формату А-4.</w:t>
      </w:r>
    </w:p>
    <w:p w:rsidR="00453B81" w:rsidRPr="00AF7929" w:rsidRDefault="00453B81" w:rsidP="00453B81">
      <w:pPr>
        <w:ind w:left="142" w:firstLine="540"/>
        <w:jc w:val="both"/>
        <w:rPr>
          <w:b/>
          <w:bCs/>
          <w:lang w:val="uk-UA"/>
        </w:rPr>
      </w:pPr>
      <w:r w:rsidRPr="00AF7929">
        <w:rPr>
          <w:b/>
          <w:bCs/>
          <w:lang w:val="uk-UA"/>
        </w:rPr>
        <w:t xml:space="preserve">     </w:t>
      </w:r>
    </w:p>
    <w:p w:rsidR="00453B81" w:rsidRDefault="00453B81" w:rsidP="00453B81">
      <w:pPr>
        <w:ind w:left="142" w:firstLine="540"/>
        <w:jc w:val="center"/>
        <w:rPr>
          <w:b/>
          <w:bCs/>
          <w:lang w:val="uk-UA"/>
        </w:rPr>
      </w:pPr>
      <w:r w:rsidRPr="00AF7929">
        <w:rPr>
          <w:b/>
          <w:bCs/>
          <w:lang w:val="uk-UA"/>
        </w:rPr>
        <w:t xml:space="preserve"> Теми індивідуальних завдань</w:t>
      </w:r>
    </w:p>
    <w:p w:rsidR="00453B81" w:rsidRDefault="00453B81" w:rsidP="00453B81">
      <w:pPr>
        <w:ind w:firstLine="180"/>
        <w:jc w:val="both"/>
        <w:rPr>
          <w:lang w:val="uk-UA"/>
        </w:rPr>
      </w:pPr>
      <w:r w:rsidRPr="00AF7929">
        <w:rPr>
          <w:lang w:val="uk-UA"/>
        </w:rPr>
        <w:t xml:space="preserve">1. </w:t>
      </w:r>
      <w:r>
        <w:rPr>
          <w:lang w:val="uk-UA"/>
        </w:rPr>
        <w:t xml:space="preserve">Нормативні документи про державний статус української мови. 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color w:val="000000"/>
          <w:lang w:val="uk-UA" w:eastAsia="uk-UA"/>
        </w:rPr>
        <w:t>2</w:t>
      </w:r>
      <w:r w:rsidRPr="00AF7929">
        <w:rPr>
          <w:color w:val="000000"/>
          <w:lang w:val="uk-UA" w:eastAsia="uk-UA"/>
        </w:rPr>
        <w:t xml:space="preserve">. </w:t>
      </w:r>
      <w:r>
        <w:rPr>
          <w:lang w:val="uk-UA"/>
        </w:rPr>
        <w:t>Мова як генетичний код нації, засіб пізнання, мислення, спілкування,  показник рівня культури людини.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 xml:space="preserve">3. Мовленнєва культура — критерій професійної майстерності фахівця. 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>4. Причини недостатнього рівня культури мовлення та способи підвищення мовленнєвої культури.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>5. Мова і професія.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 xml:space="preserve">6. Майстерність публічного виступу. 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>7. Види підготовки до виступу.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8. Професійна етика. 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9. Вчинок як першоелемент моральної діяльності.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 xml:space="preserve">10. Бар'єри в спілкуванні, його рівні. 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 xml:space="preserve">11. Сучасні теорії </w:t>
      </w:r>
      <w:proofErr w:type="spellStart"/>
      <w:r>
        <w:rPr>
          <w:lang w:val="uk-UA"/>
        </w:rPr>
        <w:t>міжособових</w:t>
      </w:r>
      <w:proofErr w:type="spellEnd"/>
      <w:r>
        <w:rPr>
          <w:lang w:val="uk-UA"/>
        </w:rPr>
        <w:t xml:space="preserve"> стосунків.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12. Джерела, походження, способи творення термінологічної лексики.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13. Джерела походження фразеологізмів. 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14. Сфери вживання</w:t>
      </w:r>
      <w:r w:rsidRPr="00C873DD">
        <w:rPr>
          <w:lang w:val="uk-UA"/>
        </w:rPr>
        <w:t xml:space="preserve"> </w:t>
      </w:r>
      <w:r>
        <w:rPr>
          <w:lang w:val="uk-UA"/>
        </w:rPr>
        <w:t>фразеологізмів.</w:t>
      </w:r>
    </w:p>
    <w:p w:rsidR="00453B81" w:rsidRDefault="00453B81" w:rsidP="00453B81">
      <w:pPr>
        <w:ind w:firstLine="180"/>
        <w:jc w:val="both"/>
        <w:rPr>
          <w:lang w:val="uk-UA"/>
        </w:rPr>
      </w:pPr>
      <w:r>
        <w:rPr>
          <w:lang w:val="uk-UA"/>
        </w:rPr>
        <w:t>15. Словники синонімів та паронімів: правила користування.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16.Особливості використання різних частин мови у професійному спілкуванні.</w:t>
      </w:r>
    </w:p>
    <w:p w:rsidR="00453B81" w:rsidRDefault="00453B81" w:rsidP="00453B81">
      <w:pPr>
        <w:shd w:val="clear" w:color="auto" w:fill="FFFFFF"/>
        <w:jc w:val="both"/>
      </w:pPr>
      <w:r>
        <w:rPr>
          <w:lang w:val="uk-UA"/>
        </w:rPr>
        <w:t xml:space="preserve">   17. Синтаксичні структури у професійному мовленні.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18. Документ — основний вид ділового мовлення.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19. Види службових листів.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20. Ділове листування. 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21. Вимоги до офіційного листування. 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22. Етикет ділового листування.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23. Кореспонденція за характером інформації. Телеграма. Факс.</w:t>
      </w:r>
    </w:p>
    <w:p w:rsidR="00453B81" w:rsidRDefault="00453B81" w:rsidP="00453B81">
      <w:pPr>
        <w:shd w:val="clear" w:color="auto" w:fill="FFFFFF"/>
        <w:jc w:val="both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7C"/>
    <w:rsid w:val="00453B81"/>
    <w:rsid w:val="0049117C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7BA6"/>
  <w15:chartTrackingRefBased/>
  <w15:docId w15:val="{F26794F6-BADD-47E9-9621-6228638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2019-01-30T19:38:00Z</dcterms:created>
  <dcterms:modified xsi:type="dcterms:W3CDTF">2019-01-30T19:39:00Z</dcterms:modified>
</cp:coreProperties>
</file>