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DE" w:rsidRDefault="00E37EDE" w:rsidP="00E37EDE">
      <w:pPr>
        <w:autoSpaceDE w:val="0"/>
        <w:jc w:val="center"/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САМОСТІЙНА РОБОТА</w:t>
      </w:r>
    </w:p>
    <w:p w:rsidR="00E37EDE" w:rsidRDefault="00E37EDE" w:rsidP="00E37EDE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6840"/>
        <w:gridCol w:w="1627"/>
      </w:tblGrid>
      <w:tr w:rsidR="00E37EDE" w:rsidTr="00E37EDE">
        <w:trPr>
          <w:trHeight w:val="23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</w:tcPr>
          <w:p w:rsidR="00E37EDE" w:rsidRDefault="00E37EDE">
            <w:pPr>
              <w:autoSpaceDE w:val="0"/>
              <w:snapToGrid w:val="0"/>
              <w:jc w:val="center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</w:p>
          <w:p w:rsidR="00E37EDE" w:rsidRDefault="00E37EDE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Питання, що виносяться  на самостійне вивчення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E37EDE" w:rsidRDefault="00E37EDE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Кількість годин</w:t>
            </w:r>
          </w:p>
          <w:p w:rsidR="00E37EDE" w:rsidRDefault="00E37EDE">
            <w:pPr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E37EDE" w:rsidTr="00E37EDE">
        <w:trPr>
          <w:trHeight w:val="23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tabs>
                <w:tab w:val="left" w:pos="180"/>
                <w:tab w:val="left" w:pos="1410"/>
              </w:tabs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both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Ґрунтові колоїди. Вбирна здатність. Реакція ґрунтового середовища.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E37EDE" w:rsidTr="00E37EDE">
        <w:trPr>
          <w:trHeight w:val="23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tabs>
                <w:tab w:val="left" w:pos="180"/>
                <w:tab w:val="left" w:pos="1410"/>
              </w:tabs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both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Структура, загальні фізичні і фізико-механічні властивості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E37EDE" w:rsidTr="00E37EDE">
        <w:trPr>
          <w:trHeight w:val="23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tabs>
                <w:tab w:val="left" w:pos="180"/>
                <w:tab w:val="left" w:pos="1410"/>
              </w:tabs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both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Повітряні і теплові властивості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E37EDE" w:rsidTr="00E37EDE">
        <w:trPr>
          <w:trHeight w:val="23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tabs>
                <w:tab w:val="left" w:pos="180"/>
                <w:tab w:val="left" w:pos="1410"/>
              </w:tabs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4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both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Ландшафтна підпорядкованість, еволюція, систематика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E37EDE" w:rsidTr="00E37EDE">
        <w:trPr>
          <w:trHeight w:val="23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tabs>
                <w:tab w:val="left" w:pos="180"/>
                <w:tab w:val="left" w:pos="1410"/>
              </w:tabs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both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Моделі родючості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E37EDE" w:rsidTr="00E37EDE">
        <w:trPr>
          <w:trHeight w:val="23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tabs>
                <w:tab w:val="left" w:pos="180"/>
                <w:tab w:val="left" w:pos="1410"/>
              </w:tabs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both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Ґрунтові карти і картограми, їх значення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E37EDE" w:rsidTr="00E37EDE">
        <w:trPr>
          <w:trHeight w:val="23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tabs>
                <w:tab w:val="left" w:pos="180"/>
                <w:tab w:val="left" w:pos="1410"/>
              </w:tabs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7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Методи обліку забур'яненості посівів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E37EDE" w:rsidTr="00E37EDE">
        <w:trPr>
          <w:trHeight w:val="23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tabs>
                <w:tab w:val="left" w:pos="180"/>
                <w:tab w:val="left" w:pos="1410"/>
              </w:tabs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8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Біологічні заходи боротьби з бур'янами.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E37EDE" w:rsidTr="00E37EDE">
        <w:trPr>
          <w:trHeight w:val="348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13.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Проміжні культури в сівозміні.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E37EDE" w:rsidTr="00E37EDE">
        <w:trPr>
          <w:trHeight w:val="23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14.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Сівозміни на осушених, зрошених та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ерозійно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небезпечних землях.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E37EDE" w:rsidTr="00E37EDE">
        <w:trPr>
          <w:trHeight w:val="23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15.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Проектування і освоєння сівозмін.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E37EDE" w:rsidTr="00E37EDE">
        <w:trPr>
          <w:trHeight w:val="435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16.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Сівозміни в умовах різних форм власності землі.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E37EDE" w:rsidTr="00E37EDE">
        <w:trPr>
          <w:trHeight w:val="23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17.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Ґрунтозахисна та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енергозберігальна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спрямованість обробітку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 інтенсивному землеробстві.</w:t>
            </w:r>
          </w:p>
          <w:p w:rsidR="00E37EDE" w:rsidRDefault="00E37EDE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Прийоми поглиблення орного шару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в різних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грунтово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-кліматичних зонах України.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E37EDE" w:rsidTr="00E37EDE">
        <w:trPr>
          <w:trHeight w:val="23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18.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Обробіток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в умовах застосування інтенсивних технологій вирощування сільськогосподарських культур.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E37EDE" w:rsidTr="00E37EDE">
        <w:trPr>
          <w:trHeight w:val="352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19.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  <w:t xml:space="preserve">Напівпаровий обробіток </w:t>
            </w:r>
            <w:proofErr w:type="spellStart"/>
            <w:r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  <w:t>, його значення і завдання</w:t>
            </w:r>
          </w:p>
          <w:p w:rsidR="00E37EDE" w:rsidRDefault="00E37EDE">
            <w:pPr>
              <w:autoSpaceDE w:val="0"/>
            </w:pPr>
            <w:r>
              <w:rPr>
                <w:sz w:val="28"/>
                <w:szCs w:val="28"/>
                <w:lang w:val="uk-UA"/>
              </w:rPr>
              <w:t xml:space="preserve">Паровий обробіток </w:t>
            </w:r>
            <w:proofErr w:type="spellStart"/>
            <w:r>
              <w:rPr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 яру пшеницю в східних регіонах країни.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  <w:p w:rsidR="00E37EDE" w:rsidRDefault="00E37EDE">
            <w:pPr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E37EDE" w:rsidTr="00E37EDE">
        <w:trPr>
          <w:trHeight w:val="349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20.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Обробіток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під проміжні культури.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E37EDE" w:rsidTr="00E37EDE">
        <w:trPr>
          <w:trHeight w:val="23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21.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Особливості обробітку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меліоративних та заново освоюваних земель.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E37EDE" w:rsidTr="00E37EDE">
        <w:trPr>
          <w:trHeight w:val="369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22.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Контроль якості основних видів польових робіт.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E37EDE" w:rsidTr="00E37EDE">
        <w:trPr>
          <w:trHeight w:val="304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23.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Ґрунтозахисні сівозміни та їх особливості.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E37EDE" w:rsidTr="00E37EDE">
        <w:trPr>
          <w:trHeight w:val="360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24.</w:t>
            </w: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Розробка і освоєння зональних систем землеробства.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E37EDE" w:rsidTr="00E37EDE">
        <w:trPr>
          <w:trHeight w:val="23"/>
        </w:trPr>
        <w:tc>
          <w:tcPr>
            <w:tcW w:w="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</w:tcPr>
          <w:p w:rsidR="00E37EDE" w:rsidRDefault="00E37EDE">
            <w:pPr>
              <w:tabs>
                <w:tab w:val="left" w:pos="180"/>
              </w:tabs>
              <w:autoSpaceDE w:val="0"/>
              <w:snapToGrid w:val="0"/>
              <w:ind w:left="105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both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E37EDE" w:rsidRDefault="00E37EDE">
            <w:pPr>
              <w:autoSpaceDE w:val="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32</w:t>
            </w:r>
          </w:p>
        </w:tc>
      </w:tr>
    </w:tbl>
    <w:p w:rsidR="00E37EDE" w:rsidRDefault="00E37EDE" w:rsidP="00E37EDE">
      <w:pPr>
        <w:rPr>
          <w:lang w:val="uk-UA"/>
        </w:rPr>
      </w:pPr>
    </w:p>
    <w:p w:rsidR="00E37EDE" w:rsidRDefault="00E37EDE" w:rsidP="00E37EDE">
      <w:pPr>
        <w:rPr>
          <w:lang w:val="uk-UA"/>
        </w:rPr>
      </w:pPr>
    </w:p>
    <w:p w:rsidR="0087348D" w:rsidRDefault="0087348D" w:rsidP="0087348D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Завдання для самостійної роботи здобувача</w:t>
      </w:r>
    </w:p>
    <w:p w:rsidR="0087348D" w:rsidRDefault="0087348D" w:rsidP="0087348D">
      <w:pPr>
        <w:pStyle w:val="Defaul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87348D" w:rsidRDefault="0087348D" w:rsidP="0087348D">
      <w:pPr>
        <w:pStyle w:val="Defaul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87348D" w:rsidRDefault="0087348D" w:rsidP="0087348D">
      <w:pPr>
        <w:pStyle w:val="Defaul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підготовка до поточного контролю - розв’язання завдань самоконтролю за кожною темою; </w:t>
      </w:r>
    </w:p>
    <w:p w:rsidR="0087348D" w:rsidRDefault="0087348D" w:rsidP="0087348D">
      <w:pPr>
        <w:pStyle w:val="Defaul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87348D" w:rsidRDefault="0087348D" w:rsidP="0087348D">
      <w:pPr>
        <w:ind w:firstLine="567"/>
        <w:jc w:val="both"/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підсумкового</w:t>
      </w:r>
      <w:proofErr w:type="spellEnd"/>
      <w:r>
        <w:rPr>
          <w:sz w:val="28"/>
          <w:szCs w:val="28"/>
        </w:rPr>
        <w:t xml:space="preserve"> контролю</w:t>
      </w:r>
      <w:r>
        <w:rPr>
          <w:sz w:val="28"/>
          <w:szCs w:val="28"/>
          <w:lang w:val="uk-UA"/>
        </w:rPr>
        <w:t>.</w:t>
      </w:r>
    </w:p>
    <w:p w:rsidR="0087348D" w:rsidRDefault="0087348D" w:rsidP="0087348D">
      <w:pPr>
        <w:ind w:firstLine="567"/>
        <w:jc w:val="both"/>
        <w:rPr>
          <w:sz w:val="28"/>
          <w:szCs w:val="28"/>
          <w:lang w:val="uk-UA"/>
        </w:rPr>
      </w:pPr>
    </w:p>
    <w:p w:rsidR="0087348D" w:rsidRDefault="0087348D" w:rsidP="0087348D">
      <w:pPr>
        <w:ind w:firstLine="567"/>
        <w:jc w:val="both"/>
        <w:rPr>
          <w:b/>
          <w:sz w:val="28"/>
          <w:szCs w:val="28"/>
          <w:lang w:val="uk-UA"/>
        </w:rPr>
      </w:pPr>
    </w:p>
    <w:p w:rsidR="0087348D" w:rsidRDefault="0087348D" w:rsidP="0087348D">
      <w:pPr>
        <w:ind w:firstLine="567"/>
        <w:jc w:val="both"/>
      </w:pPr>
      <w:r>
        <w:rPr>
          <w:b/>
          <w:sz w:val="28"/>
          <w:szCs w:val="28"/>
          <w:lang w:val="uk-UA"/>
        </w:rPr>
        <w:t xml:space="preserve">                     </w:t>
      </w:r>
      <w:r>
        <w:rPr>
          <w:b/>
          <w:color w:val="000000"/>
          <w:sz w:val="28"/>
          <w:szCs w:val="28"/>
          <w:lang w:val="uk-UA"/>
        </w:rPr>
        <w:t xml:space="preserve"> Індивідуальні завдання</w:t>
      </w:r>
    </w:p>
    <w:p w:rsidR="0087348D" w:rsidRDefault="0087348D" w:rsidP="0087348D">
      <w:pPr>
        <w:widowControl w:val="0"/>
        <w:ind w:firstLine="540"/>
        <w:jc w:val="both"/>
      </w:pPr>
      <w:r>
        <w:rPr>
          <w:color w:val="000000"/>
          <w:sz w:val="28"/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87348D" w:rsidRDefault="0087348D" w:rsidP="0087348D">
      <w:pPr>
        <w:widowControl w:val="0"/>
        <w:ind w:firstLine="540"/>
        <w:jc w:val="both"/>
      </w:pPr>
      <w:r>
        <w:rPr>
          <w:i/>
          <w:color w:val="000000"/>
          <w:sz w:val="28"/>
          <w:szCs w:val="28"/>
          <w:lang w:val="uk-UA"/>
        </w:rPr>
        <w:t>І. Опрацювання літератури за темою та підготовка звіту</w:t>
      </w:r>
      <w:r>
        <w:rPr>
          <w:color w:val="000000"/>
          <w:sz w:val="28"/>
          <w:szCs w:val="28"/>
          <w:lang w:val="uk-UA"/>
        </w:rPr>
        <w:t>, що має такий зміст і структуру:</w:t>
      </w:r>
    </w:p>
    <w:p w:rsidR="0087348D" w:rsidRDefault="0087348D" w:rsidP="0087348D">
      <w:pPr>
        <w:widowControl w:val="0"/>
        <w:ind w:firstLine="540"/>
        <w:jc w:val="both"/>
      </w:pPr>
      <w:r>
        <w:rPr>
          <w:color w:val="000000"/>
          <w:sz w:val="28"/>
          <w:szCs w:val="28"/>
          <w:lang w:val="uk-UA"/>
        </w:rPr>
        <w:t>Вступ</w:t>
      </w:r>
    </w:p>
    <w:p w:rsidR="0087348D" w:rsidRDefault="0087348D" w:rsidP="0087348D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ind w:left="709" w:hanging="169"/>
        <w:jc w:val="both"/>
        <w:textAlignment w:val="baseline"/>
      </w:pPr>
      <w:r>
        <w:rPr>
          <w:color w:val="000000"/>
          <w:sz w:val="28"/>
          <w:szCs w:val="28"/>
          <w:lang w:val="uk-UA"/>
        </w:rPr>
        <w:t>Розкриття теоретико-агрономічних аспектів проблеми.</w:t>
      </w:r>
    </w:p>
    <w:p w:rsidR="0087348D" w:rsidRDefault="0087348D" w:rsidP="0087348D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ind w:left="709" w:hanging="169"/>
        <w:jc w:val="both"/>
        <w:textAlignment w:val="baseline"/>
      </w:pPr>
      <w:r>
        <w:rPr>
          <w:color w:val="000000"/>
          <w:sz w:val="28"/>
          <w:szCs w:val="28"/>
          <w:lang w:val="uk-UA"/>
        </w:rPr>
        <w:t>Аналіз фактичних та статистичних даних.</w:t>
      </w:r>
    </w:p>
    <w:p w:rsidR="0087348D" w:rsidRDefault="0087348D" w:rsidP="0087348D">
      <w:pPr>
        <w:widowControl w:val="0"/>
        <w:tabs>
          <w:tab w:val="left" w:pos="1260"/>
        </w:tabs>
        <w:ind w:firstLine="371"/>
        <w:jc w:val="both"/>
      </w:pPr>
      <w:r>
        <w:rPr>
          <w:color w:val="000000"/>
          <w:sz w:val="28"/>
          <w:szCs w:val="28"/>
          <w:lang w:val="uk-UA"/>
        </w:rPr>
        <w:t xml:space="preserve">  Висновки</w:t>
      </w:r>
    </w:p>
    <w:p w:rsidR="0087348D" w:rsidRDefault="0087348D" w:rsidP="0087348D">
      <w:pPr>
        <w:widowControl w:val="0"/>
        <w:jc w:val="both"/>
      </w:pPr>
      <w:r>
        <w:rPr>
          <w:color w:val="000000"/>
          <w:sz w:val="28"/>
          <w:szCs w:val="28"/>
          <w:lang w:val="uk-UA"/>
        </w:rPr>
        <w:t xml:space="preserve">       Список використаної літератури та інформаційних джерел</w:t>
      </w:r>
    </w:p>
    <w:p w:rsidR="0087348D" w:rsidRDefault="0087348D" w:rsidP="0087348D">
      <w:pPr>
        <w:widowControl w:val="0"/>
        <w:ind w:firstLine="540"/>
        <w:jc w:val="both"/>
      </w:pPr>
      <w:r>
        <w:rPr>
          <w:i/>
          <w:color w:val="000000"/>
          <w:sz w:val="28"/>
          <w:szCs w:val="28"/>
          <w:lang w:val="uk-UA"/>
        </w:rPr>
        <w:t>Обсяг ІНДЗ – 5-6 сторінок формату А-4.</w:t>
      </w:r>
    </w:p>
    <w:p w:rsidR="0087348D" w:rsidRDefault="0087348D" w:rsidP="0087348D">
      <w:pPr>
        <w:widowControl w:val="0"/>
        <w:ind w:firstLine="540"/>
        <w:jc w:val="center"/>
      </w:pPr>
      <w:r>
        <w:rPr>
          <w:b/>
          <w:color w:val="000000"/>
          <w:sz w:val="28"/>
          <w:szCs w:val="28"/>
          <w:lang w:val="uk-UA"/>
        </w:rPr>
        <w:t>Теми індивідуальних завдань</w:t>
      </w:r>
    </w:p>
    <w:p w:rsidR="0087348D" w:rsidRDefault="0087348D" w:rsidP="0087348D">
      <w:pPr>
        <w:autoSpaceDE w:val="0"/>
        <w:ind w:left="180"/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1.Ґрунтові колоїди. Вбирна здатність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грунту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.</w:t>
      </w:r>
    </w:p>
    <w:p w:rsidR="0087348D" w:rsidRDefault="0087348D" w:rsidP="0087348D">
      <w:pPr>
        <w:autoSpaceDE w:val="0"/>
        <w:ind w:left="180"/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2. Реакція ґрунтового середовища. </w:t>
      </w:r>
    </w:p>
    <w:p w:rsidR="0087348D" w:rsidRDefault="0087348D" w:rsidP="0087348D">
      <w:pPr>
        <w:autoSpaceDE w:val="0"/>
        <w:ind w:left="180"/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3. Структура і структурність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грунту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. Види структури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грунту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.</w:t>
      </w:r>
    </w:p>
    <w:p w:rsidR="0087348D" w:rsidRDefault="0087348D" w:rsidP="0087348D">
      <w:pPr>
        <w:autoSpaceDE w:val="0"/>
        <w:ind w:left="180"/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4. Загальні фізичні та фізико-механічні властивості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грунту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.</w:t>
      </w:r>
    </w:p>
    <w:p w:rsidR="0087348D" w:rsidRDefault="0087348D" w:rsidP="0087348D">
      <w:pPr>
        <w:autoSpaceDE w:val="0"/>
        <w:ind w:left="180"/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5. Склад ґрунтового повітря і повітрообмін у ґрунті.</w:t>
      </w:r>
    </w:p>
    <w:p w:rsidR="0087348D" w:rsidRDefault="0087348D" w:rsidP="0087348D">
      <w:pPr>
        <w:autoSpaceDE w:val="0"/>
        <w:ind w:left="180"/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6. Джерела тепла і теплові властивості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грунту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. Тепловий режим.</w:t>
      </w:r>
    </w:p>
    <w:p w:rsidR="0087348D" w:rsidRDefault="0087348D" w:rsidP="0087348D">
      <w:pPr>
        <w:autoSpaceDE w:val="0"/>
        <w:ind w:left="180"/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7. Систематика та номенклатура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грунтів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. Зональність ґрунтового покриву.</w:t>
      </w:r>
    </w:p>
    <w:p w:rsidR="0087348D" w:rsidRDefault="0087348D" w:rsidP="0087348D">
      <w:pPr>
        <w:autoSpaceDE w:val="0"/>
        <w:ind w:left="180"/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8. Ґрунтові карти і картограми, їх значення.</w:t>
      </w:r>
    </w:p>
    <w:p w:rsidR="0087348D" w:rsidRDefault="0087348D" w:rsidP="0087348D">
      <w:pPr>
        <w:autoSpaceDE w:val="0"/>
        <w:ind w:left="180"/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9.  Моделі родючості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грунтів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.</w:t>
      </w:r>
    </w:p>
    <w:p w:rsidR="0087348D" w:rsidRDefault="0087348D" w:rsidP="0087348D">
      <w:pPr>
        <w:autoSpaceDE w:val="0"/>
        <w:ind w:left="180"/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Методи обліку забур'яненості посівів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грунту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87348D" w:rsidRDefault="0087348D" w:rsidP="0087348D">
      <w:pPr>
        <w:autoSpaceDE w:val="0"/>
        <w:ind w:left="180"/>
      </w:pPr>
      <w:r>
        <w:rPr>
          <w:sz w:val="28"/>
          <w:szCs w:val="28"/>
          <w:lang w:val="uk-UA"/>
        </w:rPr>
        <w:t>11.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Біологічні заходи боротьби з бур'янами.</w:t>
      </w:r>
    </w:p>
    <w:p w:rsidR="0087348D" w:rsidRDefault="0087348D" w:rsidP="0087348D">
      <w:pPr>
        <w:autoSpaceDE w:val="0"/>
        <w:ind w:left="180"/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12.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Проміжні культури в сівозміні.</w:t>
      </w:r>
    </w:p>
    <w:p w:rsidR="0087348D" w:rsidRDefault="0087348D" w:rsidP="0087348D">
      <w:pPr>
        <w:autoSpaceDE w:val="0"/>
        <w:ind w:left="180"/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13.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Сівозміни на осушених, зрошених 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ерозійно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небезпечних землях.</w:t>
      </w:r>
    </w:p>
    <w:p w:rsidR="0087348D" w:rsidRDefault="0087348D" w:rsidP="0087348D">
      <w:pPr>
        <w:autoSpaceDE w:val="0"/>
        <w:ind w:left="180"/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14.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Проектування і освоєння сівозмін.</w:t>
      </w:r>
    </w:p>
    <w:p w:rsidR="0087348D" w:rsidRDefault="0087348D" w:rsidP="0087348D">
      <w:pPr>
        <w:autoSpaceDE w:val="0"/>
        <w:ind w:left="180"/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15. </w:t>
      </w: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Напівпаровий обробіток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грунту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, його значення і завдання</w:t>
      </w:r>
    </w:p>
    <w:p w:rsidR="0087348D" w:rsidRDefault="0087348D" w:rsidP="0087348D">
      <w:pPr>
        <w:autoSpaceDE w:val="0"/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16. </w:t>
      </w:r>
      <w:r>
        <w:rPr>
          <w:sz w:val="28"/>
          <w:szCs w:val="28"/>
          <w:lang w:val="uk-UA"/>
        </w:rPr>
        <w:t xml:space="preserve">Паровий обробіток </w:t>
      </w:r>
      <w:proofErr w:type="spellStart"/>
      <w:r>
        <w:rPr>
          <w:sz w:val="28"/>
          <w:szCs w:val="28"/>
          <w:lang w:val="uk-UA"/>
        </w:rPr>
        <w:t>грунту</w:t>
      </w:r>
      <w:proofErr w:type="spellEnd"/>
      <w:r>
        <w:rPr>
          <w:sz w:val="28"/>
          <w:szCs w:val="28"/>
          <w:lang w:val="uk-UA"/>
        </w:rPr>
        <w:t xml:space="preserve"> під яру пшеницю в східних регіонах країни.</w:t>
      </w:r>
    </w:p>
    <w:p w:rsidR="0087348D" w:rsidRDefault="0087348D" w:rsidP="0087348D">
      <w:pPr>
        <w:autoSpaceDE w:val="0"/>
        <w:ind w:left="180"/>
      </w:pPr>
      <w:r>
        <w:rPr>
          <w:sz w:val="28"/>
          <w:szCs w:val="28"/>
          <w:lang w:val="uk-UA"/>
        </w:rPr>
        <w:t xml:space="preserve">17.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Обробіток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грунту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під проміжні культури.</w:t>
      </w:r>
    </w:p>
    <w:p w:rsidR="0087348D" w:rsidRDefault="0087348D" w:rsidP="0087348D">
      <w:pPr>
        <w:autoSpaceDE w:val="0"/>
      </w:pPr>
      <w:r>
        <w:rPr>
          <w:sz w:val="28"/>
          <w:szCs w:val="28"/>
          <w:lang w:val="uk-UA"/>
        </w:rPr>
        <w:t xml:space="preserve">   18.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Ґрунтозахисні сівозміни та їх особливості.</w:t>
      </w:r>
    </w:p>
    <w:p w:rsidR="0087348D" w:rsidRDefault="0087348D" w:rsidP="0087348D">
      <w:pPr>
        <w:autoSpaceDE w:val="0"/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19. Контроль якості основних видів польових робіт.</w:t>
      </w:r>
    </w:p>
    <w:p w:rsidR="0087348D" w:rsidRDefault="0087348D" w:rsidP="0087348D">
      <w:pPr>
        <w:autoSpaceDE w:val="0"/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20. Розробка і освоєння зональних систем землеробства.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A7"/>
    <w:rsid w:val="001340A7"/>
    <w:rsid w:val="00654A4D"/>
    <w:rsid w:val="00817593"/>
    <w:rsid w:val="0087348D"/>
    <w:rsid w:val="00885528"/>
    <w:rsid w:val="00E3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C1623-6336-4746-952B-BC513F47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48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2117</Words>
  <Characters>1208</Characters>
  <Application>Microsoft Office Word</Application>
  <DocSecurity>0</DocSecurity>
  <Lines>10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2019-01-25T10:28:00Z</dcterms:created>
  <dcterms:modified xsi:type="dcterms:W3CDTF">2019-01-25T10:31:00Z</dcterms:modified>
</cp:coreProperties>
</file>