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9" w:rsidRDefault="00837819" w:rsidP="00837819">
      <w:pPr>
        <w:ind w:left="7513" w:hanging="6946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Самостійна робота для групи А-31, 32</w:t>
      </w:r>
      <w:r w:rsidR="00E14B61">
        <w:rPr>
          <w:b/>
          <w:color w:val="000000"/>
          <w:szCs w:val="28"/>
          <w:lang w:val="uk-UA"/>
        </w:rPr>
        <w:t xml:space="preserve"> з дисципліни «Насінництво»</w:t>
      </w:r>
    </w:p>
    <w:p w:rsidR="00837819" w:rsidRDefault="00837819" w:rsidP="00837819">
      <w:pPr>
        <w:ind w:left="7513" w:hanging="6946"/>
        <w:jc w:val="center"/>
        <w:rPr>
          <w:b/>
          <w:color w:val="000000"/>
          <w:szCs w:val="28"/>
          <w:lang w:val="uk-UA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198"/>
        <w:gridCol w:w="1451"/>
      </w:tblGrid>
      <w:tr w:rsidR="00837819" w:rsidRPr="00ED2C66" w:rsidTr="00E14B61">
        <w:trPr>
          <w:trHeight w:val="932"/>
        </w:trPr>
        <w:tc>
          <w:tcPr>
            <w:tcW w:w="992" w:type="dxa"/>
            <w:vAlign w:val="center"/>
          </w:tcPr>
          <w:p w:rsidR="00837819" w:rsidRPr="00ED2C66" w:rsidRDefault="00837819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№ з/п</w:t>
            </w:r>
          </w:p>
        </w:tc>
        <w:tc>
          <w:tcPr>
            <w:tcW w:w="7256" w:type="dxa"/>
            <w:vAlign w:val="center"/>
          </w:tcPr>
          <w:p w:rsidR="00837819" w:rsidRPr="00ED2C66" w:rsidRDefault="00837819" w:rsidP="00306418">
            <w:pPr>
              <w:ind w:left="360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837819" w:rsidRPr="00ED2C66" w:rsidRDefault="00837819" w:rsidP="00306418">
            <w:pPr>
              <w:ind w:left="36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Питання, що виносяться на самостійне вивчення</w:t>
            </w:r>
          </w:p>
          <w:p w:rsidR="00837819" w:rsidRPr="00ED2C66" w:rsidRDefault="00837819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1386" w:type="dxa"/>
            <w:vAlign w:val="center"/>
          </w:tcPr>
          <w:p w:rsidR="00837819" w:rsidRPr="00ED2C66" w:rsidRDefault="00837819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Кількість</w:t>
            </w:r>
          </w:p>
          <w:p w:rsidR="00837819" w:rsidRPr="00ED2C66" w:rsidRDefault="00F20999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Г</w:t>
            </w:r>
            <w:r w:rsidR="00837819" w:rsidRPr="00ED2C66">
              <w:rPr>
                <w:b/>
                <w:color w:val="000000"/>
                <w:szCs w:val="28"/>
                <w:lang w:val="uk-UA"/>
              </w:rPr>
              <w:t>один</w:t>
            </w:r>
          </w:p>
        </w:tc>
      </w:tr>
      <w:tr w:rsidR="00837819" w:rsidRPr="00ED2C66" w:rsidTr="00E14B61">
        <w:trPr>
          <w:trHeight w:val="306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7256" w:type="dxa"/>
          </w:tcPr>
          <w:p w:rsidR="00837819" w:rsidRPr="00DC2A36" w:rsidRDefault="00837819" w:rsidP="00306418">
            <w:pPr>
              <w:jc w:val="both"/>
              <w:rPr>
                <w:lang w:val="uk-UA"/>
              </w:rPr>
            </w:pPr>
            <w:proofErr w:type="spellStart"/>
            <w:r w:rsidRPr="00D13718">
              <w:t>Цитологічні</w:t>
            </w:r>
            <w:proofErr w:type="spellEnd"/>
            <w:r w:rsidRPr="00D13718">
              <w:t xml:space="preserve"> </w:t>
            </w:r>
            <w:proofErr w:type="spellStart"/>
            <w:r w:rsidRPr="00D13718">
              <w:t>основи</w:t>
            </w:r>
            <w:proofErr w:type="spellEnd"/>
            <w:r w:rsidRPr="00D13718">
              <w:t xml:space="preserve"> </w:t>
            </w:r>
            <w:proofErr w:type="spellStart"/>
            <w:r w:rsidRPr="00D13718">
              <w:t>спадковості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74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jc w:val="both"/>
              <w:rPr>
                <w:color w:val="000000"/>
                <w:kern w:val="16"/>
                <w:szCs w:val="28"/>
                <w:lang w:val="uk-UA"/>
              </w:rPr>
            </w:pPr>
            <w:r>
              <w:rPr>
                <w:color w:val="000000"/>
                <w:spacing w:val="3"/>
                <w:szCs w:val="28"/>
                <w:lang w:val="uk-UA"/>
              </w:rPr>
              <w:t>Молекулярна генетика.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249"/>
        </w:trPr>
        <w:tc>
          <w:tcPr>
            <w:tcW w:w="992" w:type="dxa"/>
          </w:tcPr>
          <w:p w:rsidR="00837819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7256" w:type="dxa"/>
          </w:tcPr>
          <w:p w:rsidR="00837819" w:rsidRDefault="00837819" w:rsidP="00306418">
            <w:pPr>
              <w:jc w:val="both"/>
              <w:rPr>
                <w:color w:val="000000"/>
                <w:spacing w:val="3"/>
                <w:szCs w:val="28"/>
                <w:lang w:val="uk-UA"/>
              </w:rPr>
            </w:pPr>
            <w:r>
              <w:rPr>
                <w:color w:val="000000"/>
                <w:spacing w:val="3"/>
                <w:szCs w:val="28"/>
                <w:lang w:val="uk-UA"/>
              </w:rPr>
              <w:t>Хромосомна теорія спадковості Т. Моргана, її основні положення.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06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Мутаційна мінливість.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277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7256" w:type="dxa"/>
          </w:tcPr>
          <w:p w:rsidR="00837819" w:rsidRDefault="00837819" w:rsidP="00306418">
            <w:pPr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 Селекція рослин і основні напрямки її розвитку.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45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Джерела утворення вихідного матеріалу. Зберігання і використання генофонду рослин вихідного матеріалу. Праці М. І. </w:t>
            </w:r>
            <w:proofErr w:type="spellStart"/>
            <w:r>
              <w:rPr>
                <w:color w:val="000000"/>
                <w:szCs w:val="28"/>
                <w:lang w:val="uk-UA" w:eastAsia="uk-UA"/>
              </w:rPr>
              <w:t>Вавілова</w:t>
            </w:r>
            <w:proofErr w:type="spellEnd"/>
            <w:r>
              <w:rPr>
                <w:color w:val="000000"/>
                <w:szCs w:val="28"/>
                <w:lang w:val="uk-UA" w:eastAsia="uk-UA"/>
              </w:rPr>
              <w:t xml:space="preserve"> про вихідний матеріал.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947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shd w:val="clear" w:color="auto" w:fill="FFFFFF"/>
              <w:tabs>
                <w:tab w:val="num" w:pos="0"/>
                <w:tab w:val="left" w:pos="9900"/>
              </w:tabs>
              <w:jc w:val="both"/>
              <w:rPr>
                <w:color w:val="000000"/>
                <w:spacing w:val="-1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Віддалена гібридизація, її завдання. Шляхи подолання несхрещуваності за віддаленої гібридизації. Досягнення вчених у гібридизації.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2 </w:t>
            </w:r>
          </w:p>
        </w:tc>
      </w:tr>
      <w:tr w:rsidR="00837819" w:rsidRPr="00ED2C66" w:rsidTr="00E14B61">
        <w:trPr>
          <w:trHeight w:val="306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ind w:right="4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Використання мутагенезу і поліплоїдії в селекції.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74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shd w:val="clear" w:color="auto" w:fill="FFFFFF"/>
              <w:tabs>
                <w:tab w:val="num" w:pos="0"/>
              </w:tabs>
              <w:jc w:val="both"/>
              <w:rPr>
                <w:bCs/>
                <w:color w:val="000000"/>
                <w:spacing w:val="1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Методика виробництва гетерозисного насіння.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249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shd w:val="clear" w:color="auto" w:fill="FFFFFF"/>
              <w:tabs>
                <w:tab w:val="num" w:pos="0"/>
              </w:tabs>
              <w:jc w:val="both"/>
              <w:rPr>
                <w:bCs/>
                <w:color w:val="000000"/>
                <w:spacing w:val="1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Добір в селекції рослин.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46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11.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shd w:val="clear" w:color="auto" w:fill="FFFFFF"/>
              <w:tabs>
                <w:tab w:val="num" w:pos="0"/>
              </w:tabs>
              <w:jc w:val="both"/>
              <w:rPr>
                <w:bCs/>
                <w:color w:val="000000"/>
                <w:spacing w:val="1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Біотехнологічні методи і генна інженерія в селекції рослин.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293"/>
        </w:trPr>
        <w:tc>
          <w:tcPr>
            <w:tcW w:w="992" w:type="dxa"/>
          </w:tcPr>
          <w:p w:rsidR="00837819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12.</w:t>
            </w:r>
          </w:p>
        </w:tc>
        <w:tc>
          <w:tcPr>
            <w:tcW w:w="7256" w:type="dxa"/>
          </w:tcPr>
          <w:p w:rsidR="00837819" w:rsidRDefault="00837819" w:rsidP="00306418">
            <w:pPr>
              <w:shd w:val="clear" w:color="auto" w:fill="FFFFFF"/>
              <w:tabs>
                <w:tab w:val="num" w:pos="0"/>
              </w:tabs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Селекційні оцінки.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18"/>
        </w:trPr>
        <w:tc>
          <w:tcPr>
            <w:tcW w:w="992" w:type="dxa"/>
          </w:tcPr>
          <w:p w:rsidR="00837819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13.</w:t>
            </w:r>
          </w:p>
        </w:tc>
        <w:tc>
          <w:tcPr>
            <w:tcW w:w="7256" w:type="dxa"/>
          </w:tcPr>
          <w:p w:rsidR="00837819" w:rsidRDefault="00837819" w:rsidP="00306418">
            <w:pPr>
              <w:shd w:val="clear" w:color="auto" w:fill="FFFFFF"/>
              <w:tabs>
                <w:tab w:val="num" w:pos="0"/>
              </w:tabs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Типи розсадників, їх використання. Попереднє сортовипробування, його завдання. Прискорення селекційного процесу.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74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14.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ind w:right="4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Державне сортовипробування.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249"/>
        </w:trPr>
        <w:tc>
          <w:tcPr>
            <w:tcW w:w="992" w:type="dxa"/>
          </w:tcPr>
          <w:p w:rsidR="00837819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15.</w:t>
            </w:r>
          </w:p>
        </w:tc>
        <w:tc>
          <w:tcPr>
            <w:tcW w:w="7256" w:type="dxa"/>
          </w:tcPr>
          <w:p w:rsidR="00837819" w:rsidRDefault="00837819" w:rsidP="00306418">
            <w:pPr>
              <w:ind w:right="4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Наукові основи насінництва.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1253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16.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ind w:right="4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Система насінництва в  Україні. Система насінництва окремих культур. Вимоги до виробників насіння. Страхові і перехідні фонди насіння. Планування насінництва у господарствах.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422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17.</w:t>
            </w:r>
          </w:p>
        </w:tc>
        <w:tc>
          <w:tcPr>
            <w:tcW w:w="7256" w:type="dxa"/>
          </w:tcPr>
          <w:p w:rsidR="00837819" w:rsidRPr="00ED2C66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Апробація окремих сільськогосподарських культур.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2 </w:t>
            </w:r>
          </w:p>
        </w:tc>
      </w:tr>
      <w:tr w:rsidR="00837819" w:rsidRPr="00ED2C66" w:rsidTr="00E14B61">
        <w:trPr>
          <w:trHeight w:val="603"/>
        </w:trPr>
        <w:tc>
          <w:tcPr>
            <w:tcW w:w="992" w:type="dxa"/>
          </w:tcPr>
          <w:p w:rsidR="00837819" w:rsidRPr="00ED2C66" w:rsidRDefault="00837819" w:rsidP="0030641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18.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Насіннєвий контроль.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18"/>
        </w:trPr>
        <w:tc>
          <w:tcPr>
            <w:tcW w:w="992" w:type="dxa"/>
          </w:tcPr>
          <w:p w:rsidR="00837819" w:rsidRPr="00ED2C66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19.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Зберігання насіння.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74"/>
        </w:trPr>
        <w:tc>
          <w:tcPr>
            <w:tcW w:w="992" w:type="dxa"/>
          </w:tcPr>
          <w:p w:rsidR="00837819" w:rsidRPr="00ED2C66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20.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Насінництво гороху.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457"/>
        </w:trPr>
        <w:tc>
          <w:tcPr>
            <w:tcW w:w="992" w:type="dxa"/>
          </w:tcPr>
          <w:p w:rsidR="00837819" w:rsidRPr="00ED2C66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21.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Насінництво озимого жита.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346"/>
        </w:trPr>
        <w:tc>
          <w:tcPr>
            <w:tcW w:w="992" w:type="dxa"/>
          </w:tcPr>
          <w:p w:rsidR="00837819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22.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Насінництво ячменю, вівса.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180"/>
        </w:trPr>
        <w:tc>
          <w:tcPr>
            <w:tcW w:w="992" w:type="dxa"/>
          </w:tcPr>
          <w:p w:rsidR="00837819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23.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Насінництво кукурудзи.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235"/>
        </w:trPr>
        <w:tc>
          <w:tcPr>
            <w:tcW w:w="992" w:type="dxa"/>
          </w:tcPr>
          <w:p w:rsidR="00837819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24.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Насінництво проса.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235"/>
        </w:trPr>
        <w:tc>
          <w:tcPr>
            <w:tcW w:w="992" w:type="dxa"/>
          </w:tcPr>
          <w:p w:rsidR="00837819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25.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Насінництво гречки.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692"/>
        </w:trPr>
        <w:tc>
          <w:tcPr>
            <w:tcW w:w="992" w:type="dxa"/>
          </w:tcPr>
          <w:p w:rsidR="00837819" w:rsidRPr="00ED2C66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Особливості </w:t>
            </w:r>
            <w:proofErr w:type="spellStart"/>
            <w:r>
              <w:rPr>
                <w:color w:val="000000"/>
                <w:szCs w:val="28"/>
                <w:lang w:val="uk-UA" w:eastAsia="uk-UA"/>
              </w:rPr>
              <w:t>безвисадкового</w:t>
            </w:r>
            <w:proofErr w:type="spellEnd"/>
            <w:r>
              <w:rPr>
                <w:color w:val="000000"/>
                <w:szCs w:val="28"/>
                <w:lang w:val="uk-UA" w:eastAsia="uk-UA"/>
              </w:rPr>
              <w:t xml:space="preserve"> способу вирощування цукрових буряків.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465"/>
        </w:trPr>
        <w:tc>
          <w:tcPr>
            <w:tcW w:w="992" w:type="dxa"/>
          </w:tcPr>
          <w:p w:rsidR="00837819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27.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Насінництво картоплі.</w:t>
            </w:r>
          </w:p>
        </w:tc>
        <w:tc>
          <w:tcPr>
            <w:tcW w:w="1386" w:type="dxa"/>
          </w:tcPr>
          <w:p w:rsidR="00837819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</w:tr>
      <w:tr w:rsidR="00837819" w:rsidRPr="00ED2C66" w:rsidTr="00E14B61">
        <w:trPr>
          <w:trHeight w:val="305"/>
        </w:trPr>
        <w:tc>
          <w:tcPr>
            <w:tcW w:w="992" w:type="dxa"/>
          </w:tcPr>
          <w:p w:rsidR="00837819" w:rsidRPr="00ED2C66" w:rsidRDefault="00837819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28.</w:t>
            </w:r>
          </w:p>
        </w:tc>
        <w:tc>
          <w:tcPr>
            <w:tcW w:w="7256" w:type="dxa"/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Особливості насінництва овочевих і баштанних культур.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837819" w:rsidRPr="00ED2C66" w:rsidTr="00E14B61">
        <w:trPr>
          <w:trHeight w:val="318"/>
        </w:trPr>
        <w:tc>
          <w:tcPr>
            <w:tcW w:w="992" w:type="dxa"/>
          </w:tcPr>
          <w:p w:rsidR="00837819" w:rsidRPr="00ED2C66" w:rsidRDefault="00837819" w:rsidP="00306418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7256" w:type="dxa"/>
          </w:tcPr>
          <w:p w:rsidR="00837819" w:rsidRPr="00ED2C66" w:rsidRDefault="00837819" w:rsidP="00306418">
            <w:pPr>
              <w:pStyle w:val="a3"/>
              <w:ind w:left="74"/>
              <w:jc w:val="center"/>
              <w:rPr>
                <w:color w:val="000000"/>
                <w:spacing w:val="2"/>
                <w:szCs w:val="28"/>
                <w:lang w:val="uk-UA"/>
              </w:rPr>
            </w:pPr>
            <w:r w:rsidRPr="00ED2C66">
              <w:rPr>
                <w:i/>
                <w:color w:val="000000"/>
                <w:spacing w:val="2"/>
                <w:szCs w:val="28"/>
                <w:lang w:val="uk-UA"/>
              </w:rPr>
              <w:t>Разом</w:t>
            </w:r>
          </w:p>
        </w:tc>
        <w:tc>
          <w:tcPr>
            <w:tcW w:w="1386" w:type="dxa"/>
          </w:tcPr>
          <w:p w:rsidR="00837819" w:rsidRPr="00ED2C66" w:rsidRDefault="00837819" w:rsidP="00306418">
            <w:pPr>
              <w:jc w:val="center"/>
              <w:rPr>
                <w:i/>
                <w:color w:val="000000"/>
                <w:szCs w:val="28"/>
                <w:lang w:val="uk-UA"/>
              </w:rPr>
            </w:pPr>
            <w:r>
              <w:rPr>
                <w:i/>
                <w:color w:val="000000"/>
                <w:szCs w:val="28"/>
                <w:lang w:val="uk-UA"/>
              </w:rPr>
              <w:t>48</w:t>
            </w:r>
          </w:p>
        </w:tc>
      </w:tr>
      <w:tr w:rsidR="00837819" w:rsidRPr="00ED2C66" w:rsidTr="00E14B61">
        <w:trPr>
          <w:trHeight w:val="1253"/>
        </w:trPr>
        <w:tc>
          <w:tcPr>
            <w:tcW w:w="8249" w:type="dxa"/>
            <w:gridSpan w:val="2"/>
            <w:tcBorders>
              <w:left w:val="nil"/>
              <w:bottom w:val="nil"/>
              <w:right w:val="nil"/>
            </w:tcBorders>
          </w:tcPr>
          <w:p w:rsidR="00837819" w:rsidRDefault="00837819" w:rsidP="00306418">
            <w:pPr>
              <w:pStyle w:val="a3"/>
              <w:ind w:left="0"/>
              <w:jc w:val="both"/>
              <w:rPr>
                <w:color w:val="000000"/>
                <w:szCs w:val="28"/>
                <w:lang w:val="uk-UA" w:eastAsia="uk-UA"/>
              </w:rPr>
            </w:pPr>
          </w:p>
        </w:tc>
        <w:tc>
          <w:tcPr>
            <w:tcW w:w="1386" w:type="dxa"/>
            <w:vMerge w:val="restart"/>
            <w:tcBorders>
              <w:left w:val="nil"/>
              <w:right w:val="nil"/>
            </w:tcBorders>
          </w:tcPr>
          <w:p w:rsidR="00837819" w:rsidRPr="00ED2C66" w:rsidRDefault="00837819" w:rsidP="00306418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837819" w:rsidRPr="00ED2C66" w:rsidTr="00E14B61">
        <w:trPr>
          <w:trHeight w:val="235"/>
        </w:trPr>
        <w:tc>
          <w:tcPr>
            <w:tcW w:w="8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19" w:rsidRDefault="00837819" w:rsidP="00306418">
            <w:pPr>
              <w:pStyle w:val="a3"/>
              <w:ind w:left="0"/>
              <w:rPr>
                <w:color w:val="000000"/>
                <w:spacing w:val="2"/>
                <w:szCs w:val="28"/>
                <w:lang w:val="uk-UA"/>
              </w:rPr>
            </w:pPr>
          </w:p>
          <w:p w:rsidR="00837819" w:rsidRDefault="00837819" w:rsidP="00306418">
            <w:pPr>
              <w:pStyle w:val="a3"/>
              <w:ind w:left="0"/>
              <w:rPr>
                <w:color w:val="000000"/>
                <w:spacing w:val="2"/>
                <w:szCs w:val="28"/>
                <w:lang w:val="uk-UA"/>
              </w:rPr>
            </w:pPr>
          </w:p>
          <w:p w:rsidR="00837819" w:rsidRDefault="00837819" w:rsidP="00306418">
            <w:pPr>
              <w:pStyle w:val="a3"/>
              <w:ind w:left="0"/>
              <w:rPr>
                <w:color w:val="000000"/>
                <w:spacing w:val="2"/>
                <w:szCs w:val="28"/>
                <w:lang w:val="uk-UA"/>
              </w:rPr>
            </w:pPr>
          </w:p>
          <w:p w:rsidR="00837819" w:rsidRPr="00ED2C66" w:rsidRDefault="00837819" w:rsidP="00306418">
            <w:pPr>
              <w:pStyle w:val="a3"/>
              <w:ind w:left="0"/>
              <w:rPr>
                <w:color w:val="000000"/>
                <w:spacing w:val="2"/>
                <w:szCs w:val="28"/>
                <w:lang w:val="uk-UA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</w:tcPr>
          <w:p w:rsidR="00837819" w:rsidRPr="00ED2C66" w:rsidRDefault="00837819" w:rsidP="00306418">
            <w:pPr>
              <w:jc w:val="center"/>
              <w:rPr>
                <w:i/>
                <w:color w:val="000000"/>
                <w:szCs w:val="28"/>
                <w:lang w:val="uk-UA"/>
              </w:rPr>
            </w:pPr>
          </w:p>
        </w:tc>
      </w:tr>
    </w:tbl>
    <w:p w:rsidR="00837819" w:rsidRDefault="00837819" w:rsidP="008378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Завдання для самостійної роботи здобувача</w:t>
      </w:r>
    </w:p>
    <w:p w:rsidR="00837819" w:rsidRDefault="00837819" w:rsidP="0083781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завдання для самостійної роботи: </w:t>
      </w:r>
    </w:p>
    <w:p w:rsidR="00837819" w:rsidRDefault="00837819" w:rsidP="0083781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попереднє опрацювання інформаційного забезпечення за кожним модулем (темою); </w:t>
      </w:r>
    </w:p>
    <w:p w:rsidR="00837819" w:rsidRDefault="00837819" w:rsidP="0083781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підготовка до поточного контролю - розв’язання завдань самоконтролю за кожною темою; </w:t>
      </w:r>
    </w:p>
    <w:p w:rsidR="00837819" w:rsidRDefault="00837819" w:rsidP="0083781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виконання тематики науково-дослідної роботи; </w:t>
      </w:r>
    </w:p>
    <w:p w:rsidR="00837819" w:rsidRDefault="00837819" w:rsidP="00837819">
      <w:pPr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proofErr w:type="spellStart"/>
      <w:r>
        <w:rPr>
          <w:szCs w:val="28"/>
        </w:rPr>
        <w:t>підготовка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підсумкового</w:t>
      </w:r>
      <w:proofErr w:type="spellEnd"/>
      <w:r>
        <w:rPr>
          <w:szCs w:val="28"/>
        </w:rPr>
        <w:t xml:space="preserve"> контролю.</w:t>
      </w:r>
    </w:p>
    <w:p w:rsidR="00E14B61" w:rsidRDefault="00E14B61" w:rsidP="00837819">
      <w:pPr>
        <w:ind w:firstLine="567"/>
        <w:jc w:val="both"/>
        <w:rPr>
          <w:szCs w:val="28"/>
        </w:rPr>
      </w:pPr>
    </w:p>
    <w:p w:rsidR="00E14B61" w:rsidRDefault="00E14B61" w:rsidP="00837819">
      <w:pPr>
        <w:ind w:firstLine="567"/>
        <w:jc w:val="both"/>
        <w:rPr>
          <w:szCs w:val="28"/>
        </w:rPr>
      </w:pPr>
    </w:p>
    <w:p w:rsidR="00E14B61" w:rsidRPr="00B5225F" w:rsidRDefault="00E14B61" w:rsidP="00837819">
      <w:pPr>
        <w:ind w:firstLine="567"/>
        <w:jc w:val="both"/>
        <w:rPr>
          <w:b/>
          <w:szCs w:val="28"/>
          <w:lang w:val="uk-UA"/>
        </w:rPr>
      </w:pPr>
    </w:p>
    <w:p w:rsidR="00837819" w:rsidRDefault="00837819" w:rsidP="00837819">
      <w:pPr>
        <w:ind w:left="142" w:firstLine="425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Індивідуальні завдання</w:t>
      </w:r>
    </w:p>
    <w:p w:rsidR="00837819" w:rsidRDefault="00837819" w:rsidP="00837819">
      <w:pPr>
        <w:ind w:left="142" w:firstLine="425"/>
        <w:jc w:val="center"/>
        <w:rPr>
          <w:b/>
          <w:color w:val="000000"/>
          <w:sz w:val="16"/>
          <w:szCs w:val="16"/>
          <w:lang w:val="uk-UA"/>
        </w:rPr>
      </w:pPr>
    </w:p>
    <w:p w:rsidR="00837819" w:rsidRDefault="00837819" w:rsidP="00837819">
      <w:pPr>
        <w:widowControl w:val="0"/>
        <w:ind w:firstLine="540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Індивідуальне завдання виконується в межах годин, відведених для самостійної роботи студента і передбачає:</w:t>
      </w:r>
    </w:p>
    <w:p w:rsidR="00837819" w:rsidRDefault="00837819" w:rsidP="00837819">
      <w:pPr>
        <w:widowControl w:val="0"/>
        <w:ind w:firstLine="540"/>
        <w:jc w:val="both"/>
        <w:rPr>
          <w:color w:val="000000"/>
          <w:szCs w:val="20"/>
          <w:lang w:val="uk-UA"/>
        </w:rPr>
      </w:pPr>
      <w:r>
        <w:rPr>
          <w:i/>
          <w:color w:val="000000"/>
          <w:szCs w:val="20"/>
          <w:lang w:val="uk-UA"/>
        </w:rPr>
        <w:t>І. Опрацювання літератури за темою та підготовка звіту</w:t>
      </w:r>
      <w:r>
        <w:rPr>
          <w:color w:val="000000"/>
          <w:szCs w:val="20"/>
          <w:lang w:val="uk-UA"/>
        </w:rPr>
        <w:t>, що має такий зміст і структуру:</w:t>
      </w:r>
    </w:p>
    <w:p w:rsidR="00837819" w:rsidRDefault="00837819" w:rsidP="00837819">
      <w:pPr>
        <w:widowControl w:val="0"/>
        <w:ind w:firstLine="540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Вступ</w:t>
      </w:r>
    </w:p>
    <w:p w:rsidR="00837819" w:rsidRDefault="00837819" w:rsidP="00837819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Розкриття теоретико-агрономічних аспектів проблеми.</w:t>
      </w:r>
    </w:p>
    <w:p w:rsidR="00837819" w:rsidRDefault="00837819" w:rsidP="00837819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Аналіз фактичних та статистичних даних.</w:t>
      </w:r>
    </w:p>
    <w:p w:rsidR="00837819" w:rsidRDefault="00837819" w:rsidP="00837819">
      <w:pPr>
        <w:widowControl w:val="0"/>
        <w:tabs>
          <w:tab w:val="num" w:pos="1260"/>
        </w:tabs>
        <w:ind w:firstLine="371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 xml:space="preserve">  Висновки</w:t>
      </w:r>
    </w:p>
    <w:p w:rsidR="00837819" w:rsidRDefault="00837819" w:rsidP="00837819">
      <w:pPr>
        <w:widowControl w:val="0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 xml:space="preserve">       Список використаної літератури та інформаційних джерел</w:t>
      </w:r>
    </w:p>
    <w:p w:rsidR="00837819" w:rsidRDefault="00837819" w:rsidP="00837819">
      <w:pPr>
        <w:widowControl w:val="0"/>
        <w:ind w:firstLine="540"/>
        <w:jc w:val="both"/>
        <w:rPr>
          <w:i/>
          <w:color w:val="000000"/>
          <w:szCs w:val="20"/>
          <w:lang w:val="uk-UA"/>
        </w:rPr>
      </w:pPr>
      <w:r>
        <w:rPr>
          <w:i/>
          <w:color w:val="000000"/>
          <w:szCs w:val="20"/>
          <w:lang w:val="uk-UA"/>
        </w:rPr>
        <w:t>Обсяг ІНДЗ – 5-6 сторінок формату А-4.</w:t>
      </w:r>
    </w:p>
    <w:p w:rsidR="00837819" w:rsidRDefault="00837819" w:rsidP="00837819">
      <w:pPr>
        <w:jc w:val="both"/>
        <w:rPr>
          <w:b/>
          <w:color w:val="000000"/>
          <w:sz w:val="16"/>
          <w:szCs w:val="16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E14B61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</w:p>
    <w:p w:rsidR="00837819" w:rsidRDefault="00E14B61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>Т</w:t>
      </w:r>
      <w:r w:rsidR="00837819">
        <w:rPr>
          <w:b/>
          <w:i/>
          <w:color w:val="000000"/>
          <w:szCs w:val="28"/>
          <w:lang w:val="uk-UA"/>
        </w:rPr>
        <w:t>еми індивідуальних завдань</w:t>
      </w:r>
    </w:p>
    <w:p w:rsidR="00950B26" w:rsidRDefault="00950B26" w:rsidP="00837819">
      <w:pPr>
        <w:ind w:left="142" w:firstLine="540"/>
        <w:jc w:val="center"/>
        <w:rPr>
          <w:b/>
          <w:i/>
          <w:color w:val="000000"/>
          <w:szCs w:val="28"/>
          <w:lang w:val="uk-UA"/>
        </w:rPr>
      </w:pPr>
      <w:bookmarkStart w:id="0" w:name="_GoBack"/>
      <w:bookmarkEnd w:id="0"/>
    </w:p>
    <w:p w:rsidR="00837819" w:rsidRPr="00ED2C66" w:rsidRDefault="00837819" w:rsidP="00837819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Цитологічні основи спадковості її суть.</w:t>
      </w:r>
    </w:p>
    <w:p w:rsidR="00837819" w:rsidRPr="00ED2C66" w:rsidRDefault="00837819" w:rsidP="00837819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Молекулярна генетика її суть.</w:t>
      </w:r>
    </w:p>
    <w:p w:rsidR="00837819" w:rsidRPr="00ED2C66" w:rsidRDefault="00837819" w:rsidP="00837819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Сортовипробування та </w:t>
      </w:r>
      <w:proofErr w:type="spellStart"/>
      <w:r>
        <w:rPr>
          <w:color w:val="000000"/>
          <w:szCs w:val="28"/>
          <w:lang w:val="uk-UA"/>
        </w:rPr>
        <w:t>сорторайонування</w:t>
      </w:r>
      <w:proofErr w:type="spellEnd"/>
      <w:r>
        <w:rPr>
          <w:color w:val="000000"/>
          <w:szCs w:val="28"/>
          <w:lang w:val="uk-UA"/>
        </w:rPr>
        <w:t>, їх завдання та методика проведення.</w:t>
      </w:r>
    </w:p>
    <w:p w:rsidR="00837819" w:rsidRPr="00ED2C66" w:rsidRDefault="00837819" w:rsidP="00837819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Віддалена гібридизація, її завдання та шляхи подолання несхрещуваності і безпліддя у віддалених гібридів.</w:t>
      </w:r>
      <w:r w:rsidRPr="00ED2C66">
        <w:rPr>
          <w:color w:val="000000"/>
          <w:szCs w:val="28"/>
          <w:lang w:val="uk-UA"/>
        </w:rPr>
        <w:t>.</w:t>
      </w:r>
    </w:p>
    <w:p w:rsidR="00837819" w:rsidRPr="00ED2C66" w:rsidRDefault="00837819" w:rsidP="00837819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Використання мутагенезу і поліплоїдії в селекції.</w:t>
      </w:r>
    </w:p>
    <w:p w:rsidR="00837819" w:rsidRPr="00ED2C66" w:rsidRDefault="00837819" w:rsidP="00837819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Особливості родинно групового добору, методу половинок та </w:t>
      </w:r>
      <w:proofErr w:type="spellStart"/>
      <w:r>
        <w:rPr>
          <w:color w:val="000000"/>
          <w:szCs w:val="28"/>
          <w:lang w:val="uk-UA"/>
        </w:rPr>
        <w:t>клонового</w:t>
      </w:r>
      <w:proofErr w:type="spellEnd"/>
      <w:r>
        <w:rPr>
          <w:color w:val="000000"/>
          <w:szCs w:val="28"/>
          <w:lang w:val="uk-UA"/>
        </w:rPr>
        <w:t xml:space="preserve"> добору.</w:t>
      </w:r>
    </w:p>
    <w:p w:rsidR="00837819" w:rsidRPr="00ED2C66" w:rsidRDefault="00837819" w:rsidP="00837819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Біотехнологічні методи і генне інженерія</w:t>
      </w:r>
      <w:r w:rsidRPr="00ED2C66">
        <w:rPr>
          <w:color w:val="000000"/>
          <w:szCs w:val="28"/>
          <w:lang w:val="uk-UA"/>
        </w:rPr>
        <w:t>.</w:t>
      </w:r>
    </w:p>
    <w:p w:rsidR="00837819" w:rsidRPr="00ED2C66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kern w:val="16"/>
          <w:szCs w:val="28"/>
          <w:lang w:val="uk-UA"/>
        </w:rPr>
        <w:t>Селекційні оцінки.</w:t>
      </w:r>
    </w:p>
    <w:p w:rsidR="00837819" w:rsidRPr="00ED2C66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Державне сортовипробування.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Апробація окремих сільськогосподарських культур.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Зберігання насіння.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озимої пшениці.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Особливості насінництва ячменю.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вівса.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проса.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Особливості насінництва гречки.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Особливості </w:t>
      </w:r>
      <w:proofErr w:type="spellStart"/>
      <w:r>
        <w:rPr>
          <w:color w:val="000000"/>
          <w:szCs w:val="28"/>
          <w:lang w:val="uk-UA"/>
        </w:rPr>
        <w:t>безвисадкового</w:t>
      </w:r>
      <w:proofErr w:type="spellEnd"/>
      <w:r>
        <w:rPr>
          <w:color w:val="000000"/>
          <w:szCs w:val="28"/>
          <w:lang w:val="uk-UA"/>
        </w:rPr>
        <w:t xml:space="preserve"> способу вирощування цукрових буряків.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Збирання і зберігання насіннєвої картоплі.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огірків.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білоголової капусти.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ріпчастої цибулі.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столової моркви.</w:t>
      </w:r>
    </w:p>
    <w:p w:rsidR="00837819" w:rsidRDefault="00837819" w:rsidP="00837819">
      <w:pPr>
        <w:pStyle w:val="a3"/>
        <w:numPr>
          <w:ilvl w:val="0"/>
          <w:numId w:val="2"/>
        </w:numPr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Особливості насінництва столових буряків.</w:t>
      </w: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CFB"/>
    <w:multiLevelType w:val="hybridMultilevel"/>
    <w:tmpl w:val="F8162E0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E9662D4"/>
    <w:multiLevelType w:val="singleLevel"/>
    <w:tmpl w:val="E1E0CD72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2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4"/>
    <w:rsid w:val="00654A4D"/>
    <w:rsid w:val="00837819"/>
    <w:rsid w:val="00950B26"/>
    <w:rsid w:val="00BF3484"/>
    <w:rsid w:val="00E14B61"/>
    <w:rsid w:val="00F2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17B"/>
  <w15:chartTrackingRefBased/>
  <w15:docId w15:val="{793DAA54-8136-46B7-A61D-999A8E3B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781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3781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837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2263</Words>
  <Characters>1290</Characters>
  <Application>Microsoft Office Word</Application>
  <DocSecurity>0</DocSecurity>
  <Lines>10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5</cp:revision>
  <dcterms:created xsi:type="dcterms:W3CDTF">2019-01-18T21:01:00Z</dcterms:created>
  <dcterms:modified xsi:type="dcterms:W3CDTF">2019-01-18T21:03:00Z</dcterms:modified>
</cp:coreProperties>
</file>