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097F" w:rsidRPr="0039097F" w:rsidRDefault="0039097F" w:rsidP="00EB130F">
      <w:pPr>
        <w:spacing w:after="0" w:line="240" w:lineRule="auto"/>
        <w:jc w:val="center"/>
        <w:outlineLvl w:val="0"/>
        <w:rPr>
          <w:rFonts w:asciiTheme="minorBidi" w:eastAsia="Times New Roman" w:hAnsiTheme="minorBidi"/>
          <w:b/>
          <w:bCs/>
          <w:kern w:val="36"/>
          <w:sz w:val="40"/>
          <w:szCs w:val="40"/>
          <w:u w:val="single"/>
        </w:rPr>
      </w:pPr>
      <w:r w:rsidRPr="0039097F">
        <w:rPr>
          <w:rFonts w:asciiTheme="minorBidi" w:eastAsia="Times New Roman" w:hAnsiTheme="minorBidi"/>
          <w:b/>
          <w:bCs/>
          <w:kern w:val="36"/>
          <w:sz w:val="40"/>
          <w:szCs w:val="40"/>
          <w:u w:val="single"/>
          <w:rtl/>
        </w:rPr>
        <w:t>קרינה בלתי מייננת</w:t>
      </w:r>
    </w:p>
    <w:p w:rsidR="0039097F" w:rsidRDefault="0039097F" w:rsidP="00EB130F">
      <w:pPr>
        <w:spacing w:after="150" w:line="343" w:lineRule="atLeast"/>
        <w:ind w:right="-270"/>
        <w:rPr>
          <w:rFonts w:asciiTheme="minorBidi" w:eastAsia="Times New Roman" w:hAnsiTheme="minorBidi" w:hint="cs"/>
          <w:color w:val="333333"/>
          <w:sz w:val="24"/>
          <w:szCs w:val="24"/>
          <w:rtl/>
        </w:rPr>
      </w:pPr>
      <w:r w:rsidRPr="0039097F">
        <w:rPr>
          <w:rFonts w:asciiTheme="minorBidi" w:eastAsia="Times New Roman" w:hAnsiTheme="minorBidi"/>
          <w:color w:val="333333"/>
          <w:sz w:val="24"/>
          <w:szCs w:val="24"/>
          <w:rtl/>
        </w:rPr>
        <w:t>המונח "קרינה בלתי מייננת</w:t>
      </w:r>
      <w:r w:rsidRPr="0039097F">
        <w:rPr>
          <w:rFonts w:asciiTheme="minorBidi" w:eastAsia="Times New Roman" w:hAnsiTheme="minorBidi"/>
          <w:color w:val="333333"/>
          <w:sz w:val="24"/>
          <w:szCs w:val="24"/>
        </w:rPr>
        <w:t xml:space="preserve">" (non-ionizing radiation – NIR) </w:t>
      </w:r>
      <w:r w:rsidRPr="0039097F">
        <w:rPr>
          <w:rFonts w:asciiTheme="minorBidi" w:eastAsia="Times New Roman" w:hAnsiTheme="minorBidi"/>
          <w:color w:val="333333"/>
          <w:sz w:val="24"/>
          <w:szCs w:val="24"/>
          <w:rtl/>
        </w:rPr>
        <w:t>מתייחס לקרינה אלקטרומגנטית בעלת אנרגיה שאינה מספיקה כדי ליינן אטומים או מולקולות. הספקטרום של קרינה בלתי מייננת כולל את האור האולטרה-סגול</w:t>
      </w:r>
      <w:r w:rsidRPr="0039097F">
        <w:rPr>
          <w:rFonts w:asciiTheme="minorBidi" w:eastAsia="Times New Roman" w:hAnsiTheme="minorBidi"/>
          <w:color w:val="333333"/>
          <w:sz w:val="24"/>
          <w:szCs w:val="24"/>
        </w:rPr>
        <w:t xml:space="preserve"> (ultraviolet – UV), </w:t>
      </w:r>
      <w:r w:rsidRPr="0039097F">
        <w:rPr>
          <w:rFonts w:asciiTheme="minorBidi" w:eastAsia="Times New Roman" w:hAnsiTheme="minorBidi"/>
          <w:color w:val="333333"/>
          <w:sz w:val="24"/>
          <w:szCs w:val="24"/>
          <w:rtl/>
        </w:rPr>
        <w:t>את האור הנראה</w:t>
      </w:r>
      <w:r w:rsidRPr="0039097F">
        <w:rPr>
          <w:rFonts w:asciiTheme="minorBidi" w:eastAsia="Times New Roman" w:hAnsiTheme="minorBidi"/>
          <w:color w:val="333333"/>
          <w:sz w:val="24"/>
          <w:szCs w:val="24"/>
        </w:rPr>
        <w:t xml:space="preserve"> (visible light) </w:t>
      </w:r>
      <w:r w:rsidRPr="0039097F">
        <w:rPr>
          <w:rFonts w:asciiTheme="minorBidi" w:eastAsia="Times New Roman" w:hAnsiTheme="minorBidi"/>
          <w:color w:val="333333"/>
          <w:sz w:val="24"/>
          <w:szCs w:val="24"/>
          <w:rtl/>
        </w:rPr>
        <w:t>ואת הקרינה התת-אדומה</w:t>
      </w:r>
      <w:r>
        <w:rPr>
          <w:rFonts w:asciiTheme="minorBidi" w:eastAsia="Times New Roman" w:hAnsiTheme="minorBidi"/>
          <w:color w:val="333333"/>
          <w:sz w:val="24"/>
          <w:szCs w:val="24"/>
        </w:rPr>
        <w:t>,</w:t>
      </w:r>
      <w:r w:rsidRPr="0039097F">
        <w:rPr>
          <w:rFonts w:asciiTheme="minorBidi" w:eastAsia="Times New Roman" w:hAnsiTheme="minorBidi"/>
          <w:color w:val="333333"/>
          <w:sz w:val="24"/>
          <w:szCs w:val="24"/>
        </w:rPr>
        <w:t xml:space="preserve">(infrared – IR) </w:t>
      </w:r>
      <w:r>
        <w:rPr>
          <w:rFonts w:asciiTheme="minorBidi" w:eastAsia="Times New Roman" w:hAnsiTheme="minorBidi" w:hint="cs"/>
          <w:color w:val="333333"/>
          <w:sz w:val="24"/>
          <w:szCs w:val="24"/>
          <w:rtl/>
        </w:rPr>
        <w:t xml:space="preserve"> </w:t>
      </w:r>
      <w:r w:rsidRPr="0039097F">
        <w:rPr>
          <w:rFonts w:asciiTheme="minorBidi" w:eastAsia="Times New Roman" w:hAnsiTheme="minorBidi"/>
          <w:color w:val="333333"/>
          <w:sz w:val="24"/>
          <w:szCs w:val="24"/>
          <w:rtl/>
        </w:rPr>
        <w:t>גלי מיקרו</w:t>
      </w:r>
      <w:r w:rsidRPr="0039097F">
        <w:rPr>
          <w:rFonts w:asciiTheme="minorBidi" w:eastAsia="Times New Roman" w:hAnsiTheme="minorBidi"/>
          <w:color w:val="333333"/>
          <w:sz w:val="24"/>
          <w:szCs w:val="24"/>
        </w:rPr>
        <w:t xml:space="preserve"> </w:t>
      </w:r>
      <w:r>
        <w:rPr>
          <w:rFonts w:asciiTheme="minorBidi" w:eastAsia="Times New Roman" w:hAnsiTheme="minorBidi"/>
          <w:color w:val="333333"/>
          <w:sz w:val="24"/>
          <w:szCs w:val="24"/>
        </w:rPr>
        <w:t xml:space="preserve"> </w:t>
      </w:r>
      <w:r w:rsidRPr="0039097F">
        <w:rPr>
          <w:rFonts w:asciiTheme="minorBidi" w:eastAsia="Times New Roman" w:hAnsiTheme="minorBidi"/>
          <w:color w:val="333333"/>
          <w:sz w:val="24"/>
          <w:szCs w:val="24"/>
        </w:rPr>
        <w:t xml:space="preserve">(microwave – MW), </w:t>
      </w:r>
      <w:r w:rsidRPr="0039097F">
        <w:rPr>
          <w:rFonts w:asciiTheme="minorBidi" w:eastAsia="Times New Roman" w:hAnsiTheme="minorBidi"/>
          <w:color w:val="333333"/>
          <w:sz w:val="24"/>
          <w:szCs w:val="24"/>
          <w:rtl/>
        </w:rPr>
        <w:t>תדרי רדיו</w:t>
      </w:r>
      <w:r w:rsidRPr="0039097F">
        <w:rPr>
          <w:rFonts w:asciiTheme="minorBidi" w:eastAsia="Times New Roman" w:hAnsiTheme="minorBidi"/>
          <w:color w:val="333333"/>
          <w:sz w:val="24"/>
          <w:szCs w:val="24"/>
        </w:rPr>
        <w:t xml:space="preserve"> (radio frequency – RF) </w:t>
      </w:r>
      <w:r w:rsidRPr="0039097F">
        <w:rPr>
          <w:rFonts w:asciiTheme="minorBidi" w:eastAsia="Times New Roman" w:hAnsiTheme="minorBidi"/>
          <w:color w:val="333333"/>
          <w:sz w:val="24"/>
          <w:szCs w:val="24"/>
          <w:rtl/>
        </w:rPr>
        <w:t>וקרינה בתד</w:t>
      </w:r>
      <w:bookmarkStart w:id="0" w:name="_GoBack"/>
      <w:bookmarkEnd w:id="0"/>
      <w:r w:rsidRPr="0039097F">
        <w:rPr>
          <w:rFonts w:asciiTheme="minorBidi" w:eastAsia="Times New Roman" w:hAnsiTheme="minorBidi"/>
          <w:color w:val="333333"/>
          <w:sz w:val="24"/>
          <w:szCs w:val="24"/>
          <w:rtl/>
        </w:rPr>
        <w:t>רים נמוכים מאוד</w:t>
      </w:r>
      <w:r>
        <w:rPr>
          <w:rFonts w:asciiTheme="minorBidi" w:eastAsia="Times New Roman" w:hAnsiTheme="minorBidi" w:hint="cs"/>
          <w:color w:val="333333"/>
          <w:sz w:val="24"/>
          <w:szCs w:val="24"/>
          <w:rtl/>
        </w:rPr>
        <w:t xml:space="preserve"> (של החשמל, למשל)</w:t>
      </w:r>
    </w:p>
    <w:p w:rsidR="0039097F" w:rsidRPr="0039097F" w:rsidRDefault="0039097F" w:rsidP="0039097F">
      <w:pPr>
        <w:spacing w:after="150" w:line="343" w:lineRule="atLeast"/>
        <w:ind w:right="-270"/>
        <w:rPr>
          <w:rFonts w:asciiTheme="minorBidi" w:eastAsia="Times New Roman" w:hAnsiTheme="minorBidi"/>
          <w:color w:val="333333"/>
          <w:sz w:val="24"/>
          <w:szCs w:val="24"/>
        </w:rPr>
      </w:pPr>
      <w:proofErr w:type="gramStart"/>
      <w:r>
        <w:rPr>
          <w:rFonts w:asciiTheme="minorBidi" w:eastAsia="Times New Roman" w:hAnsiTheme="minorBidi"/>
          <w:color w:val="333333"/>
          <w:sz w:val="24"/>
          <w:szCs w:val="24"/>
        </w:rPr>
        <w:t>,</w:t>
      </w:r>
      <w:r w:rsidRPr="0039097F">
        <w:rPr>
          <w:rFonts w:asciiTheme="minorBidi" w:eastAsia="Times New Roman" w:hAnsiTheme="minorBidi"/>
          <w:color w:val="333333"/>
          <w:sz w:val="24"/>
          <w:szCs w:val="24"/>
        </w:rPr>
        <w:t>(</w:t>
      </w:r>
      <w:proofErr w:type="gramEnd"/>
      <w:r w:rsidRPr="0039097F">
        <w:rPr>
          <w:rFonts w:asciiTheme="minorBidi" w:eastAsia="Times New Roman" w:hAnsiTheme="minorBidi"/>
          <w:color w:val="333333"/>
          <w:sz w:val="24"/>
          <w:szCs w:val="24"/>
        </w:rPr>
        <w:t xml:space="preserve">extremely low frequency – ELF) </w:t>
      </w:r>
      <w:r>
        <w:rPr>
          <w:rFonts w:asciiTheme="minorBidi" w:eastAsia="Times New Roman" w:hAnsiTheme="minorBidi" w:hint="cs"/>
          <w:color w:val="333333"/>
          <w:sz w:val="24"/>
          <w:szCs w:val="24"/>
          <w:rtl/>
        </w:rPr>
        <w:t xml:space="preserve"> </w:t>
      </w:r>
      <w:r w:rsidRPr="0039097F">
        <w:rPr>
          <w:rFonts w:asciiTheme="minorBidi" w:eastAsia="Times New Roman" w:hAnsiTheme="minorBidi"/>
          <w:color w:val="333333"/>
          <w:sz w:val="24"/>
          <w:szCs w:val="24"/>
          <w:rtl/>
        </w:rPr>
        <w:t>הקרינה ממתקני תקשורת אלחוטיים, ובכלל זה טלפונים סלולריים ורשתות סלולריות, היא חלק מתדרי הרדיו</w:t>
      </w:r>
      <w:r w:rsidRPr="0039097F">
        <w:rPr>
          <w:rFonts w:asciiTheme="minorBidi" w:eastAsia="Times New Roman" w:hAnsiTheme="minorBidi"/>
          <w:color w:val="333333"/>
          <w:sz w:val="18"/>
          <w:szCs w:val="18"/>
          <w:vertAlign w:val="superscript"/>
        </w:rPr>
        <w:t>(14)</w:t>
      </w:r>
      <w:r w:rsidRPr="0039097F">
        <w:rPr>
          <w:rFonts w:asciiTheme="minorBidi" w:eastAsia="Times New Roman" w:hAnsiTheme="minorBidi"/>
          <w:color w:val="333333"/>
          <w:sz w:val="24"/>
          <w:szCs w:val="24"/>
        </w:rPr>
        <w:t>.</w:t>
      </w:r>
    </w:p>
    <w:p w:rsidR="0039097F" w:rsidRPr="0039097F" w:rsidRDefault="0039097F" w:rsidP="0039097F">
      <w:pPr>
        <w:spacing w:after="150" w:line="343" w:lineRule="atLeast"/>
        <w:rPr>
          <w:rFonts w:asciiTheme="minorBidi" w:eastAsia="Times New Roman" w:hAnsiTheme="minorBidi"/>
          <w:color w:val="333333"/>
          <w:sz w:val="24"/>
          <w:szCs w:val="24"/>
        </w:rPr>
      </w:pPr>
      <w:r w:rsidRPr="0039097F">
        <w:rPr>
          <w:rFonts w:asciiTheme="minorBidi" w:eastAsia="Times New Roman" w:hAnsiTheme="minorBidi"/>
          <w:color w:val="333333"/>
          <w:sz w:val="24"/>
          <w:szCs w:val="24"/>
          <w:rtl/>
        </w:rPr>
        <w:t>מחקרים רבים בדקו תוצאי בריאות פוטנציאליים של קרינה בלתי מייננת. חשיפה לגלי רדיו יכולה לגרום לחימום מקומי של רקמות, אולם הדאגה העיקרית הנוגעת לסיכונים בריאותיים פוטנציאליים של קרינה בלתי מייננת מתמקדת באפשרות שלקרינה זו תוצאים שאינם קשורים בחום</w:t>
      </w:r>
      <w:r w:rsidRPr="0039097F">
        <w:rPr>
          <w:rFonts w:asciiTheme="minorBidi" w:eastAsia="Times New Roman" w:hAnsiTheme="minorBidi"/>
          <w:color w:val="333333"/>
          <w:sz w:val="24"/>
          <w:szCs w:val="24"/>
        </w:rPr>
        <w:t>.</w:t>
      </w:r>
    </w:p>
    <w:p w:rsidR="0039097F" w:rsidRPr="0039097F" w:rsidRDefault="0039097F" w:rsidP="00EB130F">
      <w:pPr>
        <w:spacing w:after="150" w:line="343" w:lineRule="atLeast"/>
        <w:rPr>
          <w:rFonts w:asciiTheme="minorBidi" w:eastAsia="Times New Roman" w:hAnsiTheme="minorBidi"/>
          <w:color w:val="333333"/>
          <w:sz w:val="24"/>
          <w:szCs w:val="24"/>
        </w:rPr>
      </w:pPr>
      <w:r>
        <w:rPr>
          <w:rFonts w:asciiTheme="minorBidi" w:eastAsia="Times New Roman" w:hAnsiTheme="minorBidi" w:hint="cs"/>
          <w:color w:val="333333"/>
          <w:sz w:val="24"/>
          <w:szCs w:val="24"/>
          <w:rtl/>
        </w:rPr>
        <w:t>וועדת</w:t>
      </w:r>
      <w:r w:rsidRPr="0039097F">
        <w:rPr>
          <w:rFonts w:asciiTheme="minorBidi" w:eastAsia="Times New Roman" w:hAnsiTheme="minorBidi"/>
          <w:color w:val="333333"/>
          <w:sz w:val="24"/>
          <w:szCs w:val="24"/>
          <w:rtl/>
        </w:rPr>
        <w:t xml:space="preserve"> הבי</w:t>
      </w:r>
      <w:r>
        <w:rPr>
          <w:rFonts w:asciiTheme="minorBidi" w:eastAsia="Times New Roman" w:hAnsiTheme="minorBidi" w:hint="cs"/>
          <w:color w:val="333333"/>
          <w:sz w:val="24"/>
          <w:szCs w:val="24"/>
          <w:rtl/>
        </w:rPr>
        <w:t>נ</w:t>
      </w:r>
      <w:r w:rsidRPr="0039097F">
        <w:rPr>
          <w:rFonts w:asciiTheme="minorBidi" w:eastAsia="Times New Roman" w:hAnsiTheme="minorBidi"/>
          <w:color w:val="333333"/>
          <w:sz w:val="24"/>
          <w:szCs w:val="24"/>
          <w:rtl/>
        </w:rPr>
        <w:t>לאומית לחקר הסרטן</w:t>
      </w:r>
      <w:r w:rsidRPr="0039097F">
        <w:rPr>
          <w:rFonts w:asciiTheme="minorBidi" w:eastAsia="Times New Roman" w:hAnsiTheme="minorBidi"/>
          <w:color w:val="333333"/>
          <w:sz w:val="24"/>
          <w:szCs w:val="24"/>
        </w:rPr>
        <w:t xml:space="preserve"> (International Agency for Research on Cancer</w:t>
      </w:r>
      <w:r>
        <w:rPr>
          <w:rFonts w:asciiTheme="minorBidi" w:eastAsia="Times New Roman" w:hAnsiTheme="minorBidi"/>
          <w:color w:val="333333"/>
          <w:sz w:val="24"/>
          <w:szCs w:val="24"/>
        </w:rPr>
        <w:t>)</w:t>
      </w:r>
      <w:r w:rsidRPr="0039097F">
        <w:rPr>
          <w:rFonts w:asciiTheme="minorBidi" w:eastAsia="Times New Roman" w:hAnsiTheme="minorBidi"/>
          <w:color w:val="333333"/>
          <w:sz w:val="24"/>
          <w:szCs w:val="24"/>
        </w:rPr>
        <w:t xml:space="preserve"> IARC</w:t>
      </w:r>
      <w:r>
        <w:rPr>
          <w:rFonts w:asciiTheme="minorBidi" w:eastAsia="Times New Roman" w:hAnsiTheme="minorBidi"/>
          <w:color w:val="333333"/>
          <w:sz w:val="24"/>
          <w:szCs w:val="24"/>
        </w:rPr>
        <w:t>-</w:t>
      </w:r>
      <w:r w:rsidRPr="0039097F">
        <w:rPr>
          <w:rFonts w:asciiTheme="minorBidi" w:eastAsia="Times New Roman" w:hAnsiTheme="minorBidi"/>
          <w:color w:val="333333"/>
          <w:sz w:val="24"/>
          <w:szCs w:val="24"/>
        </w:rPr>
        <w:t xml:space="preserve"> </w:t>
      </w:r>
      <w:r>
        <w:rPr>
          <w:rFonts w:asciiTheme="minorBidi" w:eastAsia="Times New Roman" w:hAnsiTheme="minorBidi" w:hint="cs"/>
          <w:color w:val="333333"/>
          <w:sz w:val="24"/>
          <w:szCs w:val="24"/>
          <w:rtl/>
        </w:rPr>
        <w:t xml:space="preserve"> </w:t>
      </w:r>
      <w:r w:rsidRPr="0039097F">
        <w:rPr>
          <w:rFonts w:asciiTheme="minorBidi" w:eastAsia="Times New Roman" w:hAnsiTheme="minorBidi"/>
          <w:color w:val="333333"/>
          <w:sz w:val="24"/>
          <w:szCs w:val="24"/>
          <w:rtl/>
        </w:rPr>
        <w:t>סיווגה שדות מגנטיים בתחום ה</w:t>
      </w:r>
      <w:r>
        <w:rPr>
          <w:rFonts w:asciiTheme="minorBidi" w:eastAsia="Times New Roman" w:hAnsiTheme="minorBidi" w:hint="cs"/>
          <w:color w:val="333333"/>
          <w:sz w:val="24"/>
          <w:szCs w:val="24"/>
          <w:rtl/>
        </w:rPr>
        <w:t>-</w:t>
      </w:r>
      <w:r>
        <w:rPr>
          <w:rFonts w:asciiTheme="minorBidi" w:eastAsia="Times New Roman" w:hAnsiTheme="minorBidi"/>
          <w:color w:val="333333"/>
          <w:sz w:val="24"/>
          <w:szCs w:val="24"/>
        </w:rPr>
        <w:t xml:space="preserve"> </w:t>
      </w:r>
      <w:r w:rsidRPr="0039097F">
        <w:rPr>
          <w:rFonts w:asciiTheme="minorBidi" w:eastAsia="Times New Roman" w:hAnsiTheme="minorBidi"/>
          <w:color w:val="333333"/>
          <w:sz w:val="24"/>
          <w:szCs w:val="24"/>
        </w:rPr>
        <w:t xml:space="preserve">ELF </w:t>
      </w:r>
      <w:r w:rsidRPr="0039097F">
        <w:rPr>
          <w:rFonts w:asciiTheme="minorBidi" w:eastAsia="Times New Roman" w:hAnsiTheme="minorBidi"/>
          <w:color w:val="333333"/>
          <w:sz w:val="24"/>
          <w:szCs w:val="24"/>
          <w:rtl/>
        </w:rPr>
        <w:t>ושדות אלקטרומגנטיים בתחום ה</w:t>
      </w:r>
      <w:r>
        <w:rPr>
          <w:rFonts w:asciiTheme="minorBidi" w:eastAsia="Times New Roman" w:hAnsiTheme="minorBidi" w:hint="cs"/>
          <w:color w:val="333333"/>
          <w:sz w:val="24"/>
          <w:szCs w:val="24"/>
          <w:rtl/>
        </w:rPr>
        <w:t xml:space="preserve">- </w:t>
      </w:r>
      <w:r w:rsidRPr="0039097F">
        <w:rPr>
          <w:rFonts w:asciiTheme="minorBidi" w:eastAsia="Times New Roman" w:hAnsiTheme="minorBidi"/>
          <w:color w:val="333333"/>
          <w:sz w:val="24"/>
          <w:szCs w:val="24"/>
        </w:rPr>
        <w:t xml:space="preserve">RF </w:t>
      </w:r>
      <w:r w:rsidRPr="0039097F">
        <w:rPr>
          <w:rFonts w:asciiTheme="minorBidi" w:eastAsia="Times New Roman" w:hAnsiTheme="minorBidi"/>
          <w:color w:val="333333"/>
          <w:sz w:val="24"/>
          <w:szCs w:val="24"/>
          <w:rtl/>
        </w:rPr>
        <w:t>כמחוללי סרטן אפשריים לאדם (קטגוריה</w:t>
      </w:r>
      <w:r w:rsidR="00EB130F">
        <w:rPr>
          <w:rFonts w:asciiTheme="minorBidi" w:eastAsia="Times New Roman" w:hAnsiTheme="minorBidi" w:hint="cs"/>
          <w:color w:val="333333"/>
          <w:sz w:val="24"/>
          <w:szCs w:val="24"/>
          <w:rtl/>
        </w:rPr>
        <w:t xml:space="preserve"> </w:t>
      </w:r>
      <w:r w:rsidR="00EB130F">
        <w:rPr>
          <w:rFonts w:asciiTheme="minorBidi" w:eastAsia="Times New Roman" w:hAnsiTheme="minorBidi"/>
          <w:color w:val="333333"/>
          <w:sz w:val="24"/>
          <w:szCs w:val="24"/>
        </w:rPr>
        <w:t>3</w:t>
      </w:r>
      <w:r>
        <w:rPr>
          <w:rFonts w:asciiTheme="minorBidi" w:eastAsia="Times New Roman" w:hAnsiTheme="minorBidi" w:hint="cs"/>
          <w:color w:val="333333"/>
          <w:sz w:val="24"/>
          <w:szCs w:val="24"/>
          <w:rtl/>
        </w:rPr>
        <w:t>)</w:t>
      </w:r>
      <w:r w:rsidRPr="0039097F">
        <w:rPr>
          <w:rFonts w:asciiTheme="minorBidi" w:eastAsia="Times New Roman" w:hAnsiTheme="minorBidi"/>
          <w:color w:val="333333"/>
          <w:sz w:val="24"/>
          <w:szCs w:val="24"/>
        </w:rPr>
        <w:t xml:space="preserve"> </w:t>
      </w:r>
      <w:r>
        <w:rPr>
          <w:rFonts w:asciiTheme="minorBidi" w:eastAsia="Times New Roman" w:hAnsiTheme="minorBidi" w:hint="cs"/>
          <w:color w:val="333333"/>
          <w:sz w:val="24"/>
          <w:szCs w:val="24"/>
          <w:rtl/>
        </w:rPr>
        <w:t>.</w:t>
      </w:r>
      <w:r w:rsidRPr="0039097F">
        <w:rPr>
          <w:rFonts w:asciiTheme="minorBidi" w:eastAsia="Times New Roman" w:hAnsiTheme="minorBidi"/>
          <w:color w:val="333333"/>
          <w:sz w:val="24"/>
          <w:szCs w:val="24"/>
        </w:rPr>
        <w:t xml:space="preserve"> </w:t>
      </w:r>
      <w:r w:rsidRPr="0039097F">
        <w:rPr>
          <w:rFonts w:asciiTheme="minorBidi" w:eastAsia="Times New Roman" w:hAnsiTheme="minorBidi"/>
          <w:color w:val="333333"/>
          <w:sz w:val="24"/>
          <w:szCs w:val="24"/>
          <w:rtl/>
        </w:rPr>
        <w:t>מחקרים מצביעים על סיכון מוגבר להתפתחות לוקמיה (</w:t>
      </w:r>
      <w:r>
        <w:rPr>
          <w:rFonts w:asciiTheme="minorBidi" w:eastAsia="Times New Roman" w:hAnsiTheme="minorBidi" w:hint="cs"/>
          <w:color w:val="333333"/>
          <w:sz w:val="24"/>
          <w:szCs w:val="24"/>
          <w:rtl/>
        </w:rPr>
        <w:t>פי</w:t>
      </w:r>
      <w:r w:rsidRPr="0039097F">
        <w:rPr>
          <w:rFonts w:asciiTheme="minorBidi" w:eastAsia="Times New Roman" w:hAnsiTheme="minorBidi"/>
          <w:color w:val="333333"/>
          <w:sz w:val="24"/>
          <w:szCs w:val="24"/>
          <w:rtl/>
        </w:rPr>
        <w:t xml:space="preserve"> </w:t>
      </w:r>
      <w:r>
        <w:rPr>
          <w:rFonts w:asciiTheme="minorBidi" w:eastAsia="Times New Roman" w:hAnsiTheme="minorBidi" w:hint="cs"/>
          <w:color w:val="333333"/>
          <w:sz w:val="24"/>
          <w:szCs w:val="24"/>
          <w:rtl/>
        </w:rPr>
        <w:t xml:space="preserve"> </w:t>
      </w:r>
      <w:r w:rsidRPr="0039097F">
        <w:rPr>
          <w:rFonts w:asciiTheme="minorBidi" w:eastAsia="Times New Roman" w:hAnsiTheme="minorBidi"/>
          <w:color w:val="333333"/>
          <w:sz w:val="24"/>
          <w:szCs w:val="24"/>
          <w:rtl/>
        </w:rPr>
        <w:t>2</w:t>
      </w:r>
      <w:r>
        <w:rPr>
          <w:rFonts w:asciiTheme="minorBidi" w:eastAsia="Times New Roman" w:hAnsiTheme="minorBidi"/>
          <w:color w:val="333333"/>
          <w:sz w:val="24"/>
          <w:szCs w:val="24"/>
          <w:rtl/>
        </w:rPr>
        <w:t>÷</w:t>
      </w:r>
      <w:r w:rsidRPr="0039097F">
        <w:rPr>
          <w:rFonts w:asciiTheme="minorBidi" w:eastAsia="Times New Roman" w:hAnsiTheme="minorBidi"/>
          <w:color w:val="333333"/>
          <w:sz w:val="24"/>
          <w:szCs w:val="24"/>
          <w:rtl/>
        </w:rPr>
        <w:t>1.5) בעקבות חשיפה ממושכת באזור המגורים לשדות מגנטיים (בעוצמה של יותר מ-0.4</w:t>
      </w:r>
      <w:r>
        <w:rPr>
          <w:rFonts w:asciiTheme="minorBidi" w:eastAsia="Times New Roman" w:hAnsiTheme="minorBidi"/>
          <w:color w:val="333333"/>
          <w:sz w:val="24"/>
          <w:szCs w:val="24"/>
          <w:rtl/>
        </w:rPr>
        <w:t>÷</w:t>
      </w:r>
      <w:r w:rsidRPr="0039097F">
        <w:rPr>
          <w:rFonts w:asciiTheme="minorBidi" w:eastAsia="Times New Roman" w:hAnsiTheme="minorBidi"/>
          <w:color w:val="333333"/>
          <w:sz w:val="24"/>
          <w:szCs w:val="24"/>
          <w:rtl/>
        </w:rPr>
        <w:t>0.3 מיקרוטסלה, שהיא שוות ערך ל-4</w:t>
      </w:r>
      <w:r>
        <w:rPr>
          <w:rFonts w:asciiTheme="minorBidi" w:eastAsia="Times New Roman" w:hAnsiTheme="minorBidi"/>
          <w:color w:val="333333"/>
          <w:sz w:val="24"/>
          <w:szCs w:val="24"/>
          <w:rtl/>
        </w:rPr>
        <w:t>÷</w:t>
      </w:r>
      <w:r w:rsidRPr="0039097F">
        <w:rPr>
          <w:rFonts w:asciiTheme="minorBidi" w:eastAsia="Times New Roman" w:hAnsiTheme="minorBidi"/>
          <w:color w:val="333333"/>
          <w:sz w:val="24"/>
          <w:szCs w:val="24"/>
          <w:rtl/>
        </w:rPr>
        <w:t xml:space="preserve">3 מיליגאוס). לפי הערכה של </w:t>
      </w:r>
      <w:r w:rsidR="00EB130F">
        <w:rPr>
          <w:rFonts w:asciiTheme="minorBidi" w:eastAsia="Times New Roman" w:hAnsiTheme="minorBidi" w:hint="cs"/>
          <w:color w:val="333333"/>
          <w:sz w:val="24"/>
          <w:szCs w:val="24"/>
          <w:rtl/>
        </w:rPr>
        <w:t>וועד</w:t>
      </w:r>
      <w:r w:rsidRPr="0039097F">
        <w:rPr>
          <w:rFonts w:asciiTheme="minorBidi" w:eastAsia="Times New Roman" w:hAnsiTheme="minorBidi"/>
          <w:color w:val="333333"/>
          <w:sz w:val="24"/>
          <w:szCs w:val="24"/>
          <w:rtl/>
        </w:rPr>
        <w:t>ת הבי</w:t>
      </w:r>
      <w:r w:rsidR="00EB130F">
        <w:rPr>
          <w:rFonts w:asciiTheme="minorBidi" w:eastAsia="Times New Roman" w:hAnsiTheme="minorBidi" w:hint="cs"/>
          <w:color w:val="333333"/>
          <w:sz w:val="24"/>
          <w:szCs w:val="24"/>
          <w:rtl/>
        </w:rPr>
        <w:t>נ</w:t>
      </w:r>
      <w:r w:rsidRPr="0039097F">
        <w:rPr>
          <w:rFonts w:asciiTheme="minorBidi" w:eastAsia="Times New Roman" w:hAnsiTheme="minorBidi"/>
          <w:color w:val="333333"/>
          <w:sz w:val="24"/>
          <w:szCs w:val="24"/>
          <w:rtl/>
        </w:rPr>
        <w:t>לאומית לחקר הסרטן בשנת 2011, יש ראיות מוגבלות לקיומו של סיכון מוגבר להתפתחות גידולי מוח ממאירים (גליומה) וגידולים שפירים של עצב השמיעה (נוירומה אקוסטית) בקרב המשתמשים בטלפונים סלולריים</w:t>
      </w:r>
      <w:r w:rsidRPr="0039097F">
        <w:rPr>
          <w:rFonts w:asciiTheme="minorBidi" w:eastAsia="Times New Roman" w:hAnsiTheme="minorBidi"/>
          <w:color w:val="333333"/>
          <w:sz w:val="24"/>
          <w:szCs w:val="24"/>
        </w:rPr>
        <w:t>.</w:t>
      </w:r>
    </w:p>
    <w:p w:rsidR="0039097F" w:rsidRPr="0039097F" w:rsidRDefault="0039097F" w:rsidP="00EB130F">
      <w:pPr>
        <w:spacing w:after="150" w:line="343" w:lineRule="atLeast"/>
        <w:rPr>
          <w:rFonts w:asciiTheme="minorBidi" w:eastAsia="Times New Roman" w:hAnsiTheme="minorBidi"/>
          <w:color w:val="333333"/>
          <w:sz w:val="24"/>
          <w:szCs w:val="24"/>
        </w:rPr>
      </w:pPr>
      <w:r w:rsidRPr="0039097F">
        <w:rPr>
          <w:rFonts w:asciiTheme="minorBidi" w:eastAsia="Times New Roman" w:hAnsiTheme="minorBidi"/>
          <w:color w:val="333333"/>
          <w:sz w:val="24"/>
          <w:szCs w:val="24"/>
          <w:rtl/>
        </w:rPr>
        <w:t>מספר מוגבל של מחקרים בחנו את הקשר האפשרי בין חשיפה ל</w:t>
      </w:r>
      <w:r w:rsidRPr="0039097F">
        <w:rPr>
          <w:rFonts w:asciiTheme="minorBidi" w:eastAsia="Times New Roman" w:hAnsiTheme="minorBidi"/>
          <w:color w:val="333333"/>
          <w:sz w:val="24"/>
          <w:szCs w:val="24"/>
        </w:rPr>
        <w:t>RF</w:t>
      </w:r>
      <w:r w:rsidR="00EB130F">
        <w:rPr>
          <w:rFonts w:asciiTheme="minorBidi" w:eastAsia="Times New Roman" w:hAnsiTheme="minorBidi"/>
          <w:color w:val="333333"/>
          <w:sz w:val="24"/>
          <w:szCs w:val="24"/>
        </w:rPr>
        <w:t>-</w:t>
      </w:r>
      <w:r w:rsidR="00EB130F">
        <w:rPr>
          <w:rFonts w:asciiTheme="minorBidi" w:eastAsia="Times New Roman" w:hAnsiTheme="minorBidi" w:hint="cs"/>
          <w:color w:val="333333"/>
          <w:sz w:val="24"/>
          <w:szCs w:val="24"/>
          <w:rtl/>
        </w:rPr>
        <w:t xml:space="preserve"> </w:t>
      </w:r>
      <w:r w:rsidRPr="0039097F">
        <w:rPr>
          <w:rFonts w:asciiTheme="minorBidi" w:eastAsia="Times New Roman" w:hAnsiTheme="minorBidi"/>
          <w:color w:val="333333"/>
          <w:sz w:val="24"/>
          <w:szCs w:val="24"/>
          <w:rtl/>
        </w:rPr>
        <w:t>ובין תוצאים בריאותיים שליליים, כגון בעיות פוריות, פגיעה בתפקודי המוח, שיבושים בתפקוד הלב ומחזור הדם, אובדן שמיעה, שינויים בהפרשת הרוק, בהרכבו ובזרימתו, וכן מחלות ניווניות של מערכת העצבים. תוצאות המחקרים שבחנו את השפעת ה</w:t>
      </w:r>
      <w:r w:rsidR="00EB130F">
        <w:rPr>
          <w:rFonts w:asciiTheme="minorBidi" w:eastAsia="Times New Roman" w:hAnsiTheme="minorBidi" w:hint="cs"/>
          <w:color w:val="333333"/>
          <w:sz w:val="24"/>
          <w:szCs w:val="24"/>
          <w:rtl/>
        </w:rPr>
        <w:t>-</w:t>
      </w:r>
      <w:r w:rsidRPr="0039097F">
        <w:rPr>
          <w:rFonts w:asciiTheme="minorBidi" w:eastAsia="Times New Roman" w:hAnsiTheme="minorBidi"/>
          <w:color w:val="333333"/>
          <w:sz w:val="24"/>
          <w:szCs w:val="24"/>
        </w:rPr>
        <w:t xml:space="preserve">RF </w:t>
      </w:r>
      <w:r w:rsidR="00EB130F">
        <w:rPr>
          <w:rFonts w:asciiTheme="minorBidi" w:eastAsia="Times New Roman" w:hAnsiTheme="minorBidi" w:hint="cs"/>
          <w:color w:val="333333"/>
          <w:sz w:val="24"/>
          <w:szCs w:val="24"/>
          <w:rtl/>
        </w:rPr>
        <w:t xml:space="preserve"> </w:t>
      </w:r>
      <w:r w:rsidRPr="0039097F">
        <w:rPr>
          <w:rFonts w:asciiTheme="minorBidi" w:eastAsia="Times New Roman" w:hAnsiTheme="minorBidi"/>
          <w:color w:val="333333"/>
          <w:sz w:val="24"/>
          <w:szCs w:val="24"/>
          <w:rtl/>
        </w:rPr>
        <w:t>על מדדים שונים של איכות הזרע לא היו חד-משמעיות</w:t>
      </w:r>
      <w:r w:rsidRPr="0039097F">
        <w:rPr>
          <w:rFonts w:asciiTheme="minorBidi" w:eastAsia="Times New Roman" w:hAnsiTheme="minorBidi"/>
          <w:color w:val="333333"/>
          <w:sz w:val="24"/>
          <w:szCs w:val="24"/>
        </w:rPr>
        <w:t>.</w:t>
      </w:r>
    </w:p>
    <w:p w:rsidR="0039097F" w:rsidRDefault="0039097F" w:rsidP="0039097F">
      <w:pPr>
        <w:spacing w:after="150" w:line="343" w:lineRule="atLeast"/>
        <w:rPr>
          <w:rFonts w:asciiTheme="minorBidi" w:eastAsia="Times New Roman" w:hAnsiTheme="minorBidi" w:hint="cs"/>
          <w:b/>
          <w:bCs/>
          <w:color w:val="333333"/>
          <w:sz w:val="24"/>
          <w:szCs w:val="24"/>
          <w:u w:val="single"/>
          <w:rtl/>
        </w:rPr>
      </w:pPr>
      <w:r>
        <w:rPr>
          <w:rFonts w:asciiTheme="minorBidi" w:eastAsia="Times New Roman" w:hAnsiTheme="minorBidi" w:hint="cs"/>
          <w:b/>
          <w:bCs/>
          <w:color w:val="333333"/>
          <w:sz w:val="24"/>
          <w:szCs w:val="24"/>
          <w:u w:val="single"/>
          <w:rtl/>
        </w:rPr>
        <w:t>רגולציה ו</w:t>
      </w:r>
      <w:r>
        <w:rPr>
          <w:rFonts w:asciiTheme="minorBidi" w:eastAsia="Times New Roman" w:hAnsiTheme="minorBidi"/>
          <w:b/>
          <w:bCs/>
          <w:color w:val="333333"/>
          <w:sz w:val="24"/>
          <w:szCs w:val="24"/>
          <w:u w:val="single"/>
          <w:rtl/>
        </w:rPr>
        <w:t>מדיניות</w:t>
      </w:r>
    </w:p>
    <w:p w:rsidR="0039097F" w:rsidRPr="0039097F" w:rsidRDefault="0039097F" w:rsidP="0039097F">
      <w:pPr>
        <w:spacing w:after="150" w:line="343" w:lineRule="atLeast"/>
        <w:rPr>
          <w:rFonts w:asciiTheme="minorBidi" w:eastAsia="Times New Roman" w:hAnsiTheme="minorBidi"/>
          <w:color w:val="333333"/>
          <w:sz w:val="24"/>
          <w:szCs w:val="24"/>
        </w:rPr>
      </w:pPr>
      <w:r w:rsidRPr="0039097F">
        <w:rPr>
          <w:rFonts w:asciiTheme="minorBidi" w:eastAsia="Times New Roman" w:hAnsiTheme="minorBidi"/>
          <w:color w:val="333333"/>
          <w:sz w:val="24"/>
          <w:szCs w:val="24"/>
          <w:rtl/>
        </w:rPr>
        <w:t>המשרד להגנת הסביבה אחראי לקביעת תקנים סביבתיים לקרינה בלתי מייננת. משרד הבריאות, משרד החינוך, משרד התקשורת, משרד התשתיות הלאומיות, האנרגיה והמים, משרד הפנים ומשרד הכלכלה והתעשייה מעורבים גם הם בפיתוח מדיניות בנוגע לקרינה בלתי מייננת וליישומה. מכון התקנים הישראלי הוא האחראי להענקת תו תקן ישראלי למתקנים פולטי קרינה בלתי מייננת</w:t>
      </w:r>
      <w:r w:rsidRPr="0039097F">
        <w:rPr>
          <w:rFonts w:asciiTheme="minorBidi" w:eastAsia="Times New Roman" w:hAnsiTheme="minorBidi"/>
          <w:color w:val="333333"/>
          <w:sz w:val="24"/>
          <w:szCs w:val="24"/>
        </w:rPr>
        <w:t>.</w:t>
      </w:r>
    </w:p>
    <w:p w:rsidR="00EB130F" w:rsidRDefault="0039097F" w:rsidP="00EB130F">
      <w:pPr>
        <w:spacing w:after="150" w:line="343" w:lineRule="atLeast"/>
        <w:rPr>
          <w:rFonts w:asciiTheme="minorBidi" w:eastAsia="Times New Roman" w:hAnsiTheme="minorBidi" w:hint="cs"/>
          <w:color w:val="333333"/>
          <w:sz w:val="24"/>
          <w:szCs w:val="24"/>
          <w:rtl/>
        </w:rPr>
      </w:pPr>
      <w:r w:rsidRPr="0039097F">
        <w:rPr>
          <w:rFonts w:asciiTheme="minorBidi" w:eastAsia="Times New Roman" w:hAnsiTheme="minorBidi"/>
          <w:color w:val="333333"/>
          <w:sz w:val="24"/>
          <w:szCs w:val="24"/>
          <w:rtl/>
        </w:rPr>
        <w:t>חוק הקרינה הבלתי מייננת משנת 2006 כולל דרישות הנוגעות להתקנה של מקורות פולטי אנרגיה ולהפעלתם, וכן דרישות לניטור מקורות קרינה בלתי מייננת ולהבאת התוצאות לידיעת הציבור. החוק מעניק למשרד להגנת הסביבה סמכות להגדיר רמות חשיפה מרביות מותרות</w:t>
      </w:r>
      <w:r w:rsidRPr="0039097F">
        <w:rPr>
          <w:rFonts w:asciiTheme="minorBidi" w:eastAsia="Times New Roman" w:hAnsiTheme="minorBidi"/>
          <w:color w:val="333333"/>
          <w:sz w:val="24"/>
          <w:szCs w:val="24"/>
        </w:rPr>
        <w:t xml:space="preserve"> </w:t>
      </w:r>
      <w:r w:rsidRPr="0039097F">
        <w:rPr>
          <w:rFonts w:asciiTheme="minorBidi" w:eastAsia="Times New Roman" w:hAnsiTheme="minorBidi"/>
          <w:color w:val="333333"/>
          <w:sz w:val="24"/>
          <w:szCs w:val="24"/>
          <w:rtl/>
        </w:rPr>
        <w:t>בשנת 2011 המליצו משרד הבריאות והמשרד להגנת הסביבה על קווים מנחים לרמות מרביות מותרות של חשיפה לקרינה ממתקני חשמל (10% מהספים שנקבעו על</w:t>
      </w:r>
      <w:r w:rsidR="00EB130F">
        <w:rPr>
          <w:rFonts w:asciiTheme="minorBidi" w:eastAsia="Times New Roman" w:hAnsiTheme="minorBidi"/>
          <w:color w:val="333333"/>
          <w:sz w:val="24"/>
          <w:szCs w:val="24"/>
        </w:rPr>
        <w:t xml:space="preserve"> </w:t>
      </w:r>
      <w:r w:rsidRPr="0039097F">
        <w:rPr>
          <w:rFonts w:asciiTheme="minorBidi" w:eastAsia="Times New Roman" w:hAnsiTheme="minorBidi"/>
          <w:color w:val="333333"/>
          <w:sz w:val="24"/>
          <w:szCs w:val="24"/>
          <w:rtl/>
        </w:rPr>
        <w:t>ידי המועצה הבי</w:t>
      </w:r>
      <w:r w:rsidR="00EB130F">
        <w:rPr>
          <w:rFonts w:asciiTheme="minorBidi" w:eastAsia="Times New Roman" w:hAnsiTheme="minorBidi" w:hint="cs"/>
          <w:color w:val="333333"/>
          <w:sz w:val="24"/>
          <w:szCs w:val="24"/>
          <w:rtl/>
        </w:rPr>
        <w:t>נ</w:t>
      </w:r>
      <w:r w:rsidRPr="0039097F">
        <w:rPr>
          <w:rFonts w:asciiTheme="minorBidi" w:eastAsia="Times New Roman" w:hAnsiTheme="minorBidi"/>
          <w:color w:val="333333"/>
          <w:sz w:val="24"/>
          <w:szCs w:val="24"/>
          <w:rtl/>
        </w:rPr>
        <w:t>לאומית להגנה מקרינה בלתי מייננת</w:t>
      </w:r>
    </w:p>
    <w:p w:rsidR="0039097F" w:rsidRPr="0039097F" w:rsidRDefault="0039097F" w:rsidP="00EB130F">
      <w:pPr>
        <w:spacing w:after="150" w:line="343" w:lineRule="atLeast"/>
        <w:rPr>
          <w:rFonts w:asciiTheme="minorBidi" w:eastAsia="Times New Roman" w:hAnsiTheme="minorBidi"/>
          <w:color w:val="333333"/>
          <w:sz w:val="24"/>
          <w:szCs w:val="24"/>
        </w:rPr>
      </w:pPr>
      <w:r w:rsidRPr="0039097F">
        <w:rPr>
          <w:rFonts w:asciiTheme="minorBidi" w:eastAsia="Times New Roman" w:hAnsiTheme="minorBidi"/>
          <w:color w:val="333333"/>
          <w:sz w:val="24"/>
          <w:szCs w:val="24"/>
        </w:rPr>
        <w:lastRenderedPageBreak/>
        <w:t>International Commission on Non-Ionizing Radiation Protection – ICNIRP</w:t>
      </w:r>
      <w:r w:rsidR="00EB130F">
        <w:rPr>
          <w:rFonts w:asciiTheme="minorBidi" w:eastAsia="Times New Roman" w:hAnsiTheme="minorBidi" w:hint="cs"/>
          <w:color w:val="333333"/>
          <w:sz w:val="24"/>
          <w:szCs w:val="24"/>
          <w:rtl/>
        </w:rPr>
        <w:t xml:space="preserve"> </w:t>
      </w:r>
      <w:r w:rsidRPr="0039097F">
        <w:rPr>
          <w:rFonts w:asciiTheme="minorBidi" w:eastAsia="Times New Roman" w:hAnsiTheme="minorBidi"/>
          <w:color w:val="333333"/>
          <w:sz w:val="24"/>
          <w:szCs w:val="24"/>
        </w:rPr>
        <w:t xml:space="preserve"> </w:t>
      </w:r>
      <w:r w:rsidR="00EB130F">
        <w:rPr>
          <w:rFonts w:asciiTheme="minorBidi" w:eastAsia="Times New Roman" w:hAnsiTheme="minorBidi" w:hint="cs"/>
          <w:color w:val="333333"/>
          <w:sz w:val="24"/>
          <w:szCs w:val="24"/>
          <w:rtl/>
        </w:rPr>
        <w:t xml:space="preserve"> </w:t>
      </w:r>
      <w:r w:rsidRPr="0039097F">
        <w:rPr>
          <w:rFonts w:asciiTheme="minorBidi" w:eastAsia="Times New Roman" w:hAnsiTheme="minorBidi"/>
          <w:color w:val="333333"/>
          <w:sz w:val="24"/>
          <w:szCs w:val="24"/>
          <w:rtl/>
        </w:rPr>
        <w:t>ההמלצות הללו לא תורגמו לתקנות בשל התנגדות משרד התשתיות הלאומיות, האנרגיה והמים ומשרד האוצר. בשנת 2015 הוגשה לבית המשפט העליון עתירה בתביעה שהמשרד להגנת הסביבה יקבע תקנות בדבר חשיפה לקרינה בתדרים נמוכים מאוד. עדיין לא הושגה התקדמות בנושא והמחסום העיקרי הוא מחלוקת על העלויות של יישום התקנות</w:t>
      </w:r>
      <w:r w:rsidRPr="0039097F">
        <w:rPr>
          <w:rFonts w:asciiTheme="minorBidi" w:eastAsia="Times New Roman" w:hAnsiTheme="minorBidi"/>
          <w:color w:val="333333"/>
          <w:sz w:val="24"/>
          <w:szCs w:val="24"/>
        </w:rPr>
        <w:t>.</w:t>
      </w:r>
    </w:p>
    <w:p w:rsidR="0039097F" w:rsidRPr="0039097F" w:rsidRDefault="0039097F" w:rsidP="00EB130F">
      <w:pPr>
        <w:spacing w:after="150" w:line="343" w:lineRule="atLeast"/>
        <w:rPr>
          <w:rFonts w:asciiTheme="minorBidi" w:eastAsia="Times New Roman" w:hAnsiTheme="minorBidi"/>
          <w:color w:val="333333"/>
          <w:sz w:val="24"/>
          <w:szCs w:val="24"/>
        </w:rPr>
      </w:pPr>
      <w:r w:rsidRPr="0039097F">
        <w:rPr>
          <w:rFonts w:asciiTheme="minorBidi" w:eastAsia="Times New Roman" w:hAnsiTheme="minorBidi"/>
          <w:color w:val="333333"/>
          <w:sz w:val="24"/>
          <w:szCs w:val="24"/>
          <w:rtl/>
        </w:rPr>
        <w:t>בשנת 2013, בעקבות החלטת ממשלה, הקימו המשרד להגנת הסביבה ומשרד המדע והטכנולוגיה את מרכז הידע "תנודע" - מרכז ידע לאומי בנושא קרינה בלתי מייננת והשפעותיה על בריאות הציבור. מרכז תנודע אוסף ומעבד ידע מדעי על קרינה בלתי מייננת, מנתח אותו ומנגיש אותו למגוון קהלי יעד (הציבור הרחב, הממשלה, חוקרים וגופים מסחריים). המרכז ממליץ על צעדים לצמצום של חשיפה ושל סיכוני בריאות פוטנציאליים. המרכז פועל לשם הרחבת הידע בתחום זה ומנחה את הציבור בקבלת החלטות מושכלות בנוגע לשימוש בטכנולוגיות שבהן מעורבת קרינה בלתי מייננת</w:t>
      </w:r>
      <w:r w:rsidR="00EB130F">
        <w:rPr>
          <w:rFonts w:asciiTheme="minorBidi" w:eastAsia="Times New Roman" w:hAnsiTheme="minorBidi" w:hint="cs"/>
          <w:color w:val="333333"/>
          <w:sz w:val="18"/>
          <w:szCs w:val="18"/>
          <w:rtl/>
        </w:rPr>
        <w:t>.</w:t>
      </w:r>
    </w:p>
    <w:p w:rsidR="0039097F" w:rsidRPr="0039097F" w:rsidRDefault="0039097F" w:rsidP="00EB130F">
      <w:pPr>
        <w:spacing w:after="150" w:line="343" w:lineRule="atLeast"/>
        <w:rPr>
          <w:rFonts w:asciiTheme="minorBidi" w:eastAsia="Times New Roman" w:hAnsiTheme="minorBidi" w:hint="cs"/>
          <w:color w:val="333333"/>
          <w:sz w:val="24"/>
          <w:szCs w:val="24"/>
          <w:rtl/>
        </w:rPr>
      </w:pPr>
      <w:r w:rsidRPr="0039097F">
        <w:rPr>
          <w:rFonts w:asciiTheme="minorBidi" w:eastAsia="Times New Roman" w:hAnsiTheme="minorBidi"/>
          <w:color w:val="333333"/>
          <w:sz w:val="24"/>
          <w:szCs w:val="24"/>
          <w:rtl/>
        </w:rPr>
        <w:t>בשנת 2016 פרסם המשרד להגנת הסביבה הנחיות לצמצום חשיפה לשדות אלקטרומגנטיים הסובבים מתקני חשמל. ההנחיות כוללות המלצות לתכנון מתקנים להפקת אנרגיה ולבנייתם תוך שימת דגש על שימוש בטכנולוגיות מיגון פסיבי ומיגון אקטיבי לשם צמצום חשיפה לקרינה, כגון יצירת אזורי חיץ בין השדות המגנטיים ובין השטחים שרוצים למגן, או יצירת שדות מגנטיים מנוגדים לשדות הקיימים בשטח הממוגן</w:t>
      </w:r>
      <w:r w:rsidR="00EB130F">
        <w:rPr>
          <w:rFonts w:asciiTheme="minorBidi" w:eastAsia="Times New Roman" w:hAnsiTheme="minorBidi" w:hint="cs"/>
          <w:color w:val="333333"/>
          <w:sz w:val="24"/>
          <w:szCs w:val="24"/>
          <w:rtl/>
        </w:rPr>
        <w:t>.</w:t>
      </w:r>
    </w:p>
    <w:p w:rsidR="0039097F" w:rsidRPr="0039097F" w:rsidRDefault="0039097F" w:rsidP="0039097F">
      <w:pPr>
        <w:spacing w:after="150" w:line="343" w:lineRule="atLeast"/>
        <w:rPr>
          <w:rFonts w:asciiTheme="minorBidi" w:eastAsia="Times New Roman" w:hAnsiTheme="minorBidi"/>
          <w:color w:val="333333"/>
          <w:sz w:val="24"/>
          <w:szCs w:val="24"/>
        </w:rPr>
      </w:pPr>
      <w:r w:rsidRPr="0039097F">
        <w:rPr>
          <w:rFonts w:asciiTheme="minorBidi" w:eastAsia="Times New Roman" w:hAnsiTheme="minorBidi"/>
          <w:color w:val="333333"/>
          <w:sz w:val="24"/>
          <w:szCs w:val="24"/>
          <w:rtl/>
        </w:rPr>
        <w:t>בשנים האחרונות הוצעו חוקים אחדים המגבילים את השימוש בטלפונים סלולריים בקרב ילדים. הצעות אלה כללו איסור מכירה, שיווק ופרסום של טלפונים סלולריים לילדים מתחת לגיל 16. אף אחד מן החוקים הללו לא התקבל</w:t>
      </w:r>
      <w:r w:rsidRPr="0039097F">
        <w:rPr>
          <w:rFonts w:asciiTheme="minorBidi" w:eastAsia="Times New Roman" w:hAnsiTheme="minorBidi"/>
          <w:color w:val="333333"/>
          <w:sz w:val="24"/>
          <w:szCs w:val="24"/>
        </w:rPr>
        <w:t>.</w:t>
      </w:r>
    </w:p>
    <w:p w:rsidR="0039097F" w:rsidRPr="0039097F" w:rsidRDefault="0039097F" w:rsidP="0039097F">
      <w:pPr>
        <w:spacing w:after="150" w:line="343" w:lineRule="atLeast"/>
        <w:rPr>
          <w:rFonts w:asciiTheme="minorBidi" w:eastAsia="Times New Roman" w:hAnsiTheme="minorBidi"/>
          <w:color w:val="333333"/>
          <w:sz w:val="24"/>
          <w:szCs w:val="24"/>
        </w:rPr>
      </w:pPr>
      <w:r w:rsidRPr="0039097F">
        <w:rPr>
          <w:rFonts w:asciiTheme="minorBidi" w:eastAsia="Times New Roman" w:hAnsiTheme="minorBidi"/>
          <w:b/>
          <w:bCs/>
          <w:color w:val="333333"/>
          <w:sz w:val="24"/>
          <w:szCs w:val="24"/>
          <w:rtl/>
        </w:rPr>
        <w:t>מדיניות בנושא חשיפה לקרינה בלתי מייננת בבתי ספר</w:t>
      </w:r>
      <w:r w:rsidRPr="0039097F">
        <w:rPr>
          <w:rFonts w:asciiTheme="minorBidi" w:eastAsia="Times New Roman" w:hAnsiTheme="minorBidi"/>
          <w:color w:val="333333"/>
          <w:sz w:val="24"/>
          <w:szCs w:val="24"/>
        </w:rPr>
        <w:br/>
      </w:r>
      <w:r w:rsidRPr="0039097F">
        <w:rPr>
          <w:rFonts w:asciiTheme="minorBidi" w:eastAsia="Times New Roman" w:hAnsiTheme="minorBidi"/>
          <w:color w:val="333333"/>
          <w:sz w:val="24"/>
          <w:szCs w:val="24"/>
          <w:rtl/>
        </w:rPr>
        <w:t>הנחיית משרד החינוך מ– 2013 קובעת כי בשימוש באינטרנט בכיתה יש להעדיף תקשורת קווית. אם התקנת רשת קווית אינה ישימה, אפשר להתקין רשת אלחוטית, במגבלות האלה</w:t>
      </w:r>
      <w:r w:rsidRPr="0039097F">
        <w:rPr>
          <w:rFonts w:asciiTheme="minorBidi" w:eastAsia="Times New Roman" w:hAnsiTheme="minorBidi"/>
          <w:color w:val="333333"/>
          <w:sz w:val="24"/>
          <w:szCs w:val="24"/>
        </w:rPr>
        <w:t>: </w:t>
      </w:r>
    </w:p>
    <w:p w:rsidR="0039097F" w:rsidRPr="0039097F" w:rsidRDefault="0039097F" w:rsidP="0039097F">
      <w:pPr>
        <w:numPr>
          <w:ilvl w:val="0"/>
          <w:numId w:val="1"/>
        </w:numPr>
        <w:spacing w:before="100" w:beforeAutospacing="1" w:after="100" w:afterAutospacing="1" w:line="343" w:lineRule="atLeast"/>
        <w:rPr>
          <w:rFonts w:asciiTheme="minorBidi" w:eastAsia="Times New Roman" w:hAnsiTheme="minorBidi"/>
          <w:color w:val="333333"/>
          <w:sz w:val="24"/>
          <w:szCs w:val="24"/>
        </w:rPr>
      </w:pPr>
      <w:r w:rsidRPr="0039097F">
        <w:rPr>
          <w:rFonts w:asciiTheme="minorBidi" w:eastAsia="Times New Roman" w:hAnsiTheme="minorBidi"/>
          <w:color w:val="333333"/>
          <w:sz w:val="24"/>
          <w:szCs w:val="24"/>
          <w:rtl/>
        </w:rPr>
        <w:t>הגבלות גיל - ניתן להתקין רשת אלחוטית החל מכיתה א' אך לא בגני ילדים. בכיתות א' עד ג' השימוש היומי מוגבל: בכיתות א'-ב' - עד שעה ביום ולא יותר משלושה ימים בשבוע, בכיתה ג' - עד שעתיים ביום ולא יותר מארבעה ימים בשבוע</w:t>
      </w:r>
      <w:r w:rsidRPr="0039097F">
        <w:rPr>
          <w:rFonts w:asciiTheme="minorBidi" w:eastAsia="Times New Roman" w:hAnsiTheme="minorBidi"/>
          <w:color w:val="333333"/>
          <w:sz w:val="24"/>
          <w:szCs w:val="24"/>
        </w:rPr>
        <w:t>.</w:t>
      </w:r>
    </w:p>
    <w:p w:rsidR="0039097F" w:rsidRPr="0039097F" w:rsidRDefault="0039097F" w:rsidP="0039097F">
      <w:pPr>
        <w:numPr>
          <w:ilvl w:val="0"/>
          <w:numId w:val="1"/>
        </w:numPr>
        <w:spacing w:before="100" w:beforeAutospacing="1" w:after="100" w:afterAutospacing="1" w:line="343" w:lineRule="atLeast"/>
        <w:rPr>
          <w:rFonts w:asciiTheme="minorBidi" w:eastAsia="Times New Roman" w:hAnsiTheme="minorBidi"/>
          <w:color w:val="333333"/>
          <w:sz w:val="24"/>
          <w:szCs w:val="24"/>
        </w:rPr>
      </w:pPr>
      <w:r w:rsidRPr="0039097F">
        <w:rPr>
          <w:rFonts w:asciiTheme="minorBidi" w:eastAsia="Times New Roman" w:hAnsiTheme="minorBidi"/>
          <w:color w:val="333333"/>
          <w:sz w:val="24"/>
          <w:szCs w:val="24"/>
          <w:rtl/>
        </w:rPr>
        <w:t>בכל כיתה תותקן נקודת חיבור קווית בעמדת המורה</w:t>
      </w:r>
      <w:r w:rsidRPr="0039097F">
        <w:rPr>
          <w:rFonts w:asciiTheme="minorBidi" w:eastAsia="Times New Roman" w:hAnsiTheme="minorBidi"/>
          <w:color w:val="333333"/>
          <w:sz w:val="24"/>
          <w:szCs w:val="24"/>
        </w:rPr>
        <w:t>.</w:t>
      </w:r>
    </w:p>
    <w:p w:rsidR="0039097F" w:rsidRPr="0039097F" w:rsidRDefault="0039097F" w:rsidP="0039097F">
      <w:pPr>
        <w:numPr>
          <w:ilvl w:val="0"/>
          <w:numId w:val="1"/>
        </w:numPr>
        <w:spacing w:before="100" w:beforeAutospacing="1" w:after="100" w:afterAutospacing="1" w:line="343" w:lineRule="atLeast"/>
        <w:rPr>
          <w:rFonts w:asciiTheme="minorBidi" w:eastAsia="Times New Roman" w:hAnsiTheme="minorBidi"/>
          <w:color w:val="333333"/>
          <w:sz w:val="24"/>
          <w:szCs w:val="24"/>
        </w:rPr>
      </w:pPr>
      <w:r w:rsidRPr="0039097F">
        <w:rPr>
          <w:rFonts w:asciiTheme="minorBidi" w:eastAsia="Times New Roman" w:hAnsiTheme="minorBidi"/>
          <w:color w:val="333333"/>
          <w:sz w:val="24"/>
          <w:szCs w:val="24"/>
          <w:rtl/>
        </w:rPr>
        <w:t>יש לבצע מדידות קרינה</w:t>
      </w:r>
      <w:r w:rsidRPr="0039097F">
        <w:rPr>
          <w:rFonts w:asciiTheme="minorBidi" w:eastAsia="Times New Roman" w:hAnsiTheme="minorBidi"/>
          <w:color w:val="333333"/>
          <w:sz w:val="24"/>
          <w:szCs w:val="24"/>
        </w:rPr>
        <w:t xml:space="preserve"> (RF, ELF) </w:t>
      </w:r>
      <w:r w:rsidRPr="0039097F">
        <w:rPr>
          <w:rFonts w:asciiTheme="minorBidi" w:eastAsia="Times New Roman" w:hAnsiTheme="minorBidi"/>
          <w:color w:val="333333"/>
          <w:sz w:val="24"/>
          <w:szCs w:val="24"/>
          <w:rtl/>
        </w:rPr>
        <w:t>של ציוד תקשורת ואמצעי קצה בית ספריים. המדידות יבוצעו על–ידי אדם מוסמך, לפני ההתקנה ואחריה, כדי להבטיח שרמות הקרינה עומדות בדרישת המשרד להגנת הסביבה</w:t>
      </w:r>
      <w:r w:rsidRPr="0039097F">
        <w:rPr>
          <w:rFonts w:asciiTheme="minorBidi" w:eastAsia="Times New Roman" w:hAnsiTheme="minorBidi"/>
          <w:color w:val="333333"/>
          <w:sz w:val="24"/>
          <w:szCs w:val="24"/>
        </w:rPr>
        <w:t>. </w:t>
      </w:r>
    </w:p>
    <w:p w:rsidR="0039097F" w:rsidRPr="0039097F" w:rsidRDefault="0039097F" w:rsidP="0039097F">
      <w:pPr>
        <w:numPr>
          <w:ilvl w:val="0"/>
          <w:numId w:val="1"/>
        </w:numPr>
        <w:spacing w:before="100" w:beforeAutospacing="1" w:after="100" w:afterAutospacing="1" w:line="343" w:lineRule="atLeast"/>
        <w:rPr>
          <w:rFonts w:asciiTheme="minorBidi" w:eastAsia="Times New Roman" w:hAnsiTheme="minorBidi"/>
          <w:color w:val="333333"/>
          <w:sz w:val="24"/>
          <w:szCs w:val="24"/>
        </w:rPr>
      </w:pPr>
      <w:r w:rsidRPr="0039097F">
        <w:rPr>
          <w:rFonts w:asciiTheme="minorBidi" w:eastAsia="Times New Roman" w:hAnsiTheme="minorBidi"/>
          <w:color w:val="333333"/>
          <w:sz w:val="24"/>
          <w:szCs w:val="24"/>
          <w:rtl/>
        </w:rPr>
        <w:t>בתי הספר יפעילו תוכניות לימוד על קרינה אלקטרומגנטית וקרינת</w:t>
      </w:r>
      <w:r w:rsidRPr="0039097F">
        <w:rPr>
          <w:rFonts w:asciiTheme="minorBidi" w:eastAsia="Times New Roman" w:hAnsiTheme="minorBidi"/>
          <w:color w:val="333333"/>
          <w:sz w:val="24"/>
          <w:szCs w:val="24"/>
        </w:rPr>
        <w:t xml:space="preserve"> RF.</w:t>
      </w:r>
    </w:p>
    <w:p w:rsidR="0039097F" w:rsidRPr="0039097F" w:rsidRDefault="0039097F" w:rsidP="00EB130F">
      <w:pPr>
        <w:spacing w:line="343" w:lineRule="atLeast"/>
        <w:rPr>
          <w:rFonts w:asciiTheme="minorBidi" w:eastAsia="Times New Roman" w:hAnsiTheme="minorBidi" w:hint="cs"/>
          <w:color w:val="333333"/>
          <w:sz w:val="24"/>
          <w:szCs w:val="24"/>
          <w:rtl/>
        </w:rPr>
      </w:pPr>
      <w:r w:rsidRPr="0039097F">
        <w:rPr>
          <w:rFonts w:asciiTheme="minorBidi" w:eastAsia="Times New Roman" w:hAnsiTheme="minorBidi"/>
          <w:color w:val="333333"/>
          <w:sz w:val="24"/>
          <w:szCs w:val="24"/>
          <w:rtl/>
        </w:rPr>
        <w:t>חוזר שפורסם ב– 2016 על</w:t>
      </w:r>
      <w:r w:rsidR="00EB130F">
        <w:rPr>
          <w:rFonts w:asciiTheme="minorBidi" w:eastAsia="Times New Roman" w:hAnsiTheme="minorBidi" w:hint="cs"/>
          <w:color w:val="333333"/>
          <w:sz w:val="24"/>
          <w:szCs w:val="24"/>
          <w:rtl/>
        </w:rPr>
        <w:t xml:space="preserve"> </w:t>
      </w:r>
      <w:r w:rsidRPr="0039097F">
        <w:rPr>
          <w:rFonts w:asciiTheme="minorBidi" w:eastAsia="Times New Roman" w:hAnsiTheme="minorBidi"/>
          <w:color w:val="333333"/>
          <w:sz w:val="24"/>
          <w:szCs w:val="24"/>
          <w:rtl/>
        </w:rPr>
        <w:t xml:space="preserve">ידי משרד החינוך מגביל את פרק הזמן של לימוד דיגיטלי וקובע כי מחשב או מחשב לוח ישמשו לפעילויות פדגוגיות בלבד. החוזר גם מגביל את פרק הזמן של לימוד אלקטרוני; למשל, בכיתות א'-ג'  לא יותר מ– 20% מזמן השיעור ובכיתות ד'-ו' </w:t>
      </w:r>
      <w:r w:rsidR="00EB130F">
        <w:rPr>
          <w:rFonts w:asciiTheme="minorBidi" w:eastAsia="Times New Roman" w:hAnsiTheme="minorBidi" w:hint="cs"/>
          <w:color w:val="333333"/>
          <w:sz w:val="24"/>
          <w:szCs w:val="24"/>
          <w:rtl/>
        </w:rPr>
        <w:t xml:space="preserve"> </w:t>
      </w:r>
      <w:r w:rsidRPr="0039097F">
        <w:rPr>
          <w:rFonts w:asciiTheme="minorBidi" w:eastAsia="Times New Roman" w:hAnsiTheme="minorBidi"/>
          <w:color w:val="333333"/>
          <w:sz w:val="24"/>
          <w:szCs w:val="24"/>
          <w:rtl/>
        </w:rPr>
        <w:t xml:space="preserve"> לא יותר מ– 30% מזמן השיעור</w:t>
      </w:r>
      <w:r w:rsidR="00EB130F">
        <w:rPr>
          <w:rFonts w:asciiTheme="minorBidi" w:eastAsia="Times New Roman" w:hAnsiTheme="minorBidi" w:hint="cs"/>
          <w:color w:val="333333"/>
          <w:sz w:val="24"/>
          <w:szCs w:val="24"/>
          <w:rtl/>
        </w:rPr>
        <w:t>.</w:t>
      </w:r>
    </w:p>
    <w:p w:rsidR="00C03708" w:rsidRPr="0039097F" w:rsidRDefault="00C03708">
      <w:pPr>
        <w:rPr>
          <w:rFonts w:hint="cs"/>
        </w:rPr>
      </w:pPr>
    </w:p>
    <w:sectPr w:rsidR="00C03708" w:rsidRPr="0039097F" w:rsidSect="00F312B0">
      <w:headerReference w:type="default" r:id="rId8"/>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CDE" w:rsidRDefault="00B55CDE" w:rsidP="00EB130F">
      <w:pPr>
        <w:spacing w:after="0" w:line="240" w:lineRule="auto"/>
      </w:pPr>
      <w:r>
        <w:separator/>
      </w:r>
    </w:p>
  </w:endnote>
  <w:endnote w:type="continuationSeparator" w:id="0">
    <w:p w:rsidR="00B55CDE" w:rsidRDefault="00B55CDE" w:rsidP="00EB1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CDE" w:rsidRDefault="00B55CDE" w:rsidP="00EB130F">
      <w:pPr>
        <w:spacing w:after="0" w:line="240" w:lineRule="auto"/>
      </w:pPr>
      <w:r>
        <w:separator/>
      </w:r>
    </w:p>
  </w:footnote>
  <w:footnote w:type="continuationSeparator" w:id="0">
    <w:p w:rsidR="00B55CDE" w:rsidRDefault="00B55CDE" w:rsidP="00EB13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59047421"/>
      <w:docPartObj>
        <w:docPartGallery w:val="Page Numbers (Margins)"/>
        <w:docPartUnique/>
      </w:docPartObj>
    </w:sdtPr>
    <w:sdtContent>
      <w:p w:rsidR="00EB130F" w:rsidRDefault="00EB130F">
        <w:pPr>
          <w:pStyle w:val="Header"/>
        </w:pPr>
        <w:r>
          <w:rPr>
            <w:noProof/>
          </w:rPr>
          <mc:AlternateContent>
            <mc:Choice Requires="wps">
              <w:drawing>
                <wp:anchor distT="0" distB="0" distL="114300" distR="114300" simplePos="0" relativeHeight="251659264" behindDoc="0" locked="0" layoutInCell="0" allowOverlap="1" wp14:editId="0872290E">
                  <wp:simplePos x="0" y="0"/>
                  <wp:positionH relativeFrom="leftMargin">
                    <wp:align>center</wp:align>
                  </wp:positionH>
                  <wp:positionV relativeFrom="margin">
                    <wp:align>bottom</wp:align>
                  </wp:positionV>
                  <wp:extent cx="510540" cy="2183130"/>
                  <wp:effectExtent l="0" t="0" r="0" b="0"/>
                  <wp:wrapNone/>
                  <wp:docPr id="57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130F" w:rsidRDefault="00EB130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EB130F">
                                <w:rPr>
                                  <w:rFonts w:asciiTheme="majorHAnsi" w:eastAsiaTheme="majorEastAsia" w:hAnsiTheme="majorHAnsi" w:cstheme="majorBidi"/>
                                  <w:noProof/>
                                  <w:sz w:val="44"/>
                                  <w:szCs w:val="44"/>
                                  <w:rtl/>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BIWpNG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EB130F" w:rsidRDefault="00EB130F">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rPr>
                          <w:fldChar w:fldCharType="begin"/>
                        </w:r>
                        <w:r>
                          <w:instrText xml:space="preserve"> PAGE    \* MERGEFORMAT </w:instrText>
                        </w:r>
                        <w:r>
                          <w:rPr>
                            <w:rFonts w:eastAsiaTheme="minorEastAsia"/>
                          </w:rPr>
                          <w:fldChar w:fldCharType="separate"/>
                        </w:r>
                        <w:r w:rsidRPr="00EB130F">
                          <w:rPr>
                            <w:rFonts w:asciiTheme="majorHAnsi" w:eastAsiaTheme="majorEastAsia" w:hAnsiTheme="majorHAnsi" w:cstheme="majorBidi"/>
                            <w:noProof/>
                            <w:sz w:val="44"/>
                            <w:szCs w:val="44"/>
                            <w:rtl/>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C68F1"/>
    <w:multiLevelType w:val="multilevel"/>
    <w:tmpl w:val="7A96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97F"/>
    <w:rsid w:val="0039097F"/>
    <w:rsid w:val="00B55CDE"/>
    <w:rsid w:val="00C03708"/>
    <w:rsid w:val="00EB130F"/>
    <w:rsid w:val="00F312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3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130F"/>
  </w:style>
  <w:style w:type="paragraph" w:styleId="Footer">
    <w:name w:val="footer"/>
    <w:basedOn w:val="Normal"/>
    <w:link w:val="FooterChar"/>
    <w:uiPriority w:val="99"/>
    <w:unhideWhenUsed/>
    <w:rsid w:val="00EB13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13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3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B130F"/>
  </w:style>
  <w:style w:type="paragraph" w:styleId="Footer">
    <w:name w:val="footer"/>
    <w:basedOn w:val="Normal"/>
    <w:link w:val="FooterChar"/>
    <w:uiPriority w:val="99"/>
    <w:unhideWhenUsed/>
    <w:rsid w:val="00EB130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B1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764455">
      <w:bodyDiv w:val="1"/>
      <w:marLeft w:val="0"/>
      <w:marRight w:val="0"/>
      <w:marTop w:val="0"/>
      <w:marBottom w:val="0"/>
      <w:divBdr>
        <w:top w:val="none" w:sz="0" w:space="0" w:color="auto"/>
        <w:left w:val="none" w:sz="0" w:space="0" w:color="auto"/>
        <w:bottom w:val="none" w:sz="0" w:space="0" w:color="auto"/>
        <w:right w:val="none" w:sz="0" w:space="0" w:color="auto"/>
      </w:divBdr>
      <w:divsChild>
        <w:div w:id="1065183628">
          <w:marLeft w:val="0"/>
          <w:marRight w:val="0"/>
          <w:marTop w:val="0"/>
          <w:marBottom w:val="0"/>
          <w:divBdr>
            <w:top w:val="none" w:sz="0" w:space="0" w:color="auto"/>
            <w:left w:val="none" w:sz="0" w:space="0" w:color="auto"/>
            <w:bottom w:val="none" w:sz="0" w:space="0" w:color="auto"/>
            <w:right w:val="none" w:sz="0" w:space="0" w:color="auto"/>
          </w:divBdr>
          <w:divsChild>
            <w:div w:id="755830089">
              <w:marLeft w:val="0"/>
              <w:marRight w:val="0"/>
              <w:marTop w:val="0"/>
              <w:marBottom w:val="0"/>
              <w:divBdr>
                <w:top w:val="none" w:sz="0" w:space="0" w:color="auto"/>
                <w:left w:val="none" w:sz="0" w:space="0" w:color="auto"/>
                <w:bottom w:val="none" w:sz="0" w:space="0" w:color="auto"/>
                <w:right w:val="none" w:sz="0" w:space="0" w:color="auto"/>
              </w:divBdr>
              <w:divsChild>
                <w:div w:id="1414350547">
                  <w:marLeft w:val="0"/>
                  <w:marRight w:val="0"/>
                  <w:marTop w:val="0"/>
                  <w:marBottom w:val="0"/>
                  <w:divBdr>
                    <w:top w:val="none" w:sz="0" w:space="0" w:color="auto"/>
                    <w:left w:val="none" w:sz="0" w:space="0" w:color="auto"/>
                    <w:bottom w:val="none" w:sz="0" w:space="0" w:color="auto"/>
                    <w:right w:val="none" w:sz="0" w:space="0" w:color="auto"/>
                  </w:divBdr>
                  <w:divsChild>
                    <w:div w:id="727874958">
                      <w:marLeft w:val="0"/>
                      <w:marRight w:val="0"/>
                      <w:marTop w:val="0"/>
                      <w:marBottom w:val="0"/>
                      <w:divBdr>
                        <w:top w:val="none" w:sz="0" w:space="0" w:color="auto"/>
                        <w:left w:val="none" w:sz="0" w:space="0" w:color="auto"/>
                        <w:bottom w:val="none" w:sz="0" w:space="0" w:color="auto"/>
                        <w:right w:val="none" w:sz="0" w:space="0" w:color="auto"/>
                      </w:divBdr>
                      <w:divsChild>
                        <w:div w:id="1103114288">
                          <w:marLeft w:val="0"/>
                          <w:marRight w:val="0"/>
                          <w:marTop w:val="0"/>
                          <w:marBottom w:val="0"/>
                          <w:divBdr>
                            <w:top w:val="none" w:sz="0" w:space="0" w:color="auto"/>
                            <w:left w:val="none" w:sz="0" w:space="0" w:color="auto"/>
                            <w:bottom w:val="none" w:sz="0" w:space="0" w:color="auto"/>
                            <w:right w:val="none" w:sz="0" w:space="0" w:color="auto"/>
                          </w:divBdr>
                          <w:divsChild>
                            <w:div w:id="1153371462">
                              <w:marLeft w:val="0"/>
                              <w:marRight w:val="0"/>
                              <w:marTop w:val="0"/>
                              <w:marBottom w:val="750"/>
                              <w:divBdr>
                                <w:top w:val="none" w:sz="0" w:space="0" w:color="auto"/>
                                <w:left w:val="none" w:sz="0" w:space="0" w:color="auto"/>
                                <w:bottom w:val="none" w:sz="0" w:space="0" w:color="auto"/>
                                <w:right w:val="none" w:sz="0" w:space="0" w:color="auto"/>
                              </w:divBdr>
                              <w:divsChild>
                                <w:div w:id="410199301">
                                  <w:marLeft w:val="0"/>
                                  <w:marRight w:val="0"/>
                                  <w:marTop w:val="0"/>
                                  <w:marBottom w:val="0"/>
                                  <w:divBdr>
                                    <w:top w:val="none" w:sz="0" w:space="0" w:color="auto"/>
                                    <w:left w:val="none" w:sz="0" w:space="0" w:color="auto"/>
                                    <w:bottom w:val="none" w:sz="0" w:space="0" w:color="auto"/>
                                    <w:right w:val="none" w:sz="0" w:space="0" w:color="auto"/>
                                  </w:divBdr>
                                  <w:divsChild>
                                    <w:div w:id="157924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Famliy </Company>
  <LinksUpToDate>false</LinksUpToDate>
  <CharactersWithSpaces>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1</cp:revision>
  <dcterms:created xsi:type="dcterms:W3CDTF">2018-11-23T15:55:00Z</dcterms:created>
  <dcterms:modified xsi:type="dcterms:W3CDTF">2018-11-23T16:13:00Z</dcterms:modified>
</cp:coreProperties>
</file>