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AD2CFA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AD2CFA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AD2CFA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AD2CF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AD2CFA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AD2CFA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AD2CFA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AD2CFA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AD2CFA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58E713FF" w:rsidR="001E43C2" w:rsidRDefault="001E43C2" w:rsidP="00127EA6">
      <w:pPr>
        <w:pStyle w:val="af"/>
        <w:jc w:val="left"/>
        <w:rPr>
          <w:rtl/>
        </w:rPr>
      </w:pPr>
    </w:p>
    <w:p w14:paraId="6828327A" w14:textId="38DF1404" w:rsidR="00363C18" w:rsidRDefault="00363C18" w:rsidP="00363C18">
      <w:pPr>
        <w:pStyle w:val="af"/>
        <w:jc w:val="left"/>
        <w:rPr>
          <w:rtl/>
        </w:rPr>
      </w:pPr>
      <w:r>
        <w:rPr>
          <w:rFonts w:hint="cs"/>
          <w:rtl/>
        </w:rPr>
        <w:t>בפנינו בקשות המנהל המיוחד.</w:t>
      </w:r>
    </w:p>
    <w:p w14:paraId="610FA11D" w14:textId="531080EB" w:rsidR="00363C18" w:rsidRDefault="00363C18" w:rsidP="00363C18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>לאחר עיון יסודי בחומר שבתיק מחליט בית הדין כדלהלן:</w:t>
      </w:r>
    </w:p>
    <w:p w14:paraId="59473D2B" w14:textId="77777777" w:rsidR="00F84467" w:rsidRDefault="00F84467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ה</w:t>
      </w:r>
      <w:r w:rsidR="00783630">
        <w:rPr>
          <w:rFonts w:hint="cs"/>
          <w:rtl/>
          <w:lang w:eastAsia="he-IL"/>
        </w:rPr>
        <w:t>יתר</w:t>
      </w:r>
      <w:r>
        <w:rPr>
          <w:rFonts w:hint="cs"/>
          <w:rtl/>
          <w:lang w:eastAsia="he-IL"/>
        </w:rPr>
        <w:t xml:space="preserve">ה הנוכחית בחשבון ההקדשות הינה בסך 275,561 ₪. </w:t>
      </w:r>
    </w:p>
    <w:p w14:paraId="2E981B25" w14:textId="4822D889" w:rsidR="00783630" w:rsidRDefault="00F84467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העמותה אמורה להעביר מיידית את הסך 600,000 ₪ על פי הוראת בית הדין. </w:t>
      </w:r>
      <w:r w:rsidR="00783630">
        <w:rPr>
          <w:rFonts w:hint="cs"/>
          <w:rtl/>
          <w:lang w:eastAsia="he-IL"/>
        </w:rPr>
        <w:t xml:space="preserve"> </w:t>
      </w:r>
    </w:p>
    <w:p w14:paraId="3B2E9B67" w14:textId="42F1547E" w:rsidR="00363C18" w:rsidRDefault="00783630" w:rsidP="00363C18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בהתאם להחלטת בית הדין מיום ו' בכסלו תשפ"ב (10/11/21) על המנהל המיוחד להעביר</w:t>
      </w:r>
      <w:r w:rsidR="00F84467">
        <w:rPr>
          <w:rFonts w:hint="cs"/>
          <w:rtl/>
          <w:lang w:eastAsia="he-IL"/>
        </w:rPr>
        <w:t xml:space="preserve"> תוך 14 יום</w:t>
      </w:r>
      <w:r>
        <w:rPr>
          <w:rFonts w:hint="cs"/>
          <w:rtl/>
          <w:lang w:eastAsia="he-IL"/>
        </w:rPr>
        <w:t xml:space="preserve"> סך של 150,000 ₪ למטרות המפורטות בהחלטה. </w:t>
      </w:r>
    </w:p>
    <w:p w14:paraId="076ABD94" w14:textId="53444124" w:rsidR="00F84467" w:rsidRPr="00363C18" w:rsidRDefault="00357BD6" w:rsidP="00357BD6">
      <w:pPr>
        <w:pStyle w:val="af0"/>
        <w:numPr>
          <w:ilvl w:val="0"/>
          <w:numId w:val="7"/>
        </w:numPr>
        <w:rPr>
          <w:lang w:eastAsia="he-IL"/>
        </w:rPr>
      </w:pPr>
      <w:r>
        <w:rPr>
          <w:rFonts w:hint="cs"/>
          <w:rtl/>
          <w:lang w:eastAsia="he-IL"/>
        </w:rPr>
        <w:t>סכ</w:t>
      </w:r>
      <w:r w:rsidR="00F84467">
        <w:rPr>
          <w:rFonts w:hint="cs"/>
          <w:rtl/>
          <w:lang w:eastAsia="he-IL"/>
        </w:rPr>
        <w:t xml:space="preserve">ום של </w:t>
      </w:r>
      <w:r>
        <w:rPr>
          <w:rFonts w:hint="cs"/>
          <w:rtl/>
          <w:lang w:eastAsia="he-IL"/>
        </w:rPr>
        <w:t xml:space="preserve">239,029 </w:t>
      </w:r>
      <w:r w:rsidR="00F84467">
        <w:rPr>
          <w:rFonts w:hint="cs"/>
          <w:rtl/>
          <w:lang w:eastAsia="he-IL"/>
        </w:rPr>
        <w:t xml:space="preserve">₪ יועבר לתשלום שכ"ט המנהל המיוחד וצוותו. </w:t>
      </w:r>
    </w:p>
    <w:p w14:paraId="27EC5DBD" w14:textId="77777777" w:rsidR="00F84467" w:rsidRDefault="00F84467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בית הדין מורה על מכרז להצעת נאמנים לכלל הקדשות התימנים, תוך 30 יום. </w:t>
      </w:r>
    </w:p>
    <w:p w14:paraId="3C392C84" w14:textId="1EA94661" w:rsidR="00357BD6" w:rsidRDefault="00357BD6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המנהל המיוחד יקדם את </w:t>
      </w:r>
      <w:r w:rsidR="00BE51A2">
        <w:rPr>
          <w:rFonts w:hint="cs"/>
          <w:rtl/>
        </w:rPr>
        <w:t xml:space="preserve">השלמת </w:t>
      </w:r>
      <w:r>
        <w:rPr>
          <w:rFonts w:hint="cs"/>
          <w:rtl/>
        </w:rPr>
        <w:t xml:space="preserve">מכר הנכס בחיי אדם בהקדם האפשרי. </w:t>
      </w:r>
    </w:p>
    <w:p w14:paraId="68BF15B7" w14:textId="7C808EF4" w:rsidR="00AE2181" w:rsidRDefault="00635C0E" w:rsidP="003B55C4">
      <w:pPr>
        <w:pStyle w:val="af"/>
        <w:numPr>
          <w:ilvl w:val="0"/>
          <w:numId w:val="7"/>
        </w:numPr>
      </w:pPr>
      <w:r>
        <w:rPr>
          <w:rFonts w:hint="cs"/>
          <w:rtl/>
        </w:rPr>
        <w:t xml:space="preserve">המנהל המיוחד יפעל להמשך </w:t>
      </w:r>
      <w:r w:rsidR="00AE2181">
        <w:rPr>
          <w:rFonts w:hint="cs"/>
          <w:rtl/>
        </w:rPr>
        <w:t xml:space="preserve">הסדרת נכסי ההקדשות </w:t>
      </w:r>
      <w:r>
        <w:rPr>
          <w:rFonts w:hint="cs"/>
          <w:rtl/>
        </w:rPr>
        <w:t xml:space="preserve">לאחר התייעצות עם בית הדין. </w:t>
      </w:r>
      <w:r w:rsidR="00AE2181">
        <w:rPr>
          <w:rFonts w:hint="cs"/>
          <w:rtl/>
        </w:rPr>
        <w:t xml:space="preserve"> </w:t>
      </w:r>
    </w:p>
    <w:p w14:paraId="7AA0F404" w14:textId="77777777" w:rsidR="00F07D1A" w:rsidRDefault="00AE2181" w:rsidP="00357BD6">
      <w:pPr>
        <w:pStyle w:val="af"/>
        <w:numPr>
          <w:ilvl w:val="0"/>
          <w:numId w:val="7"/>
        </w:numPr>
        <w:jc w:val="left"/>
      </w:pPr>
      <w:r>
        <w:rPr>
          <w:rFonts w:hint="cs"/>
          <w:rtl/>
        </w:rPr>
        <w:t xml:space="preserve">על המזכירות להכניס החלטה זו גם בתיקים מס' 817808, 1175096, </w:t>
      </w:r>
      <w:r w:rsidR="00F07D1A">
        <w:rPr>
          <w:rFonts w:hint="cs"/>
          <w:rtl/>
        </w:rPr>
        <w:t>1313068</w:t>
      </w:r>
      <w:r>
        <w:rPr>
          <w:rFonts w:hint="cs"/>
          <w:rtl/>
        </w:rPr>
        <w:t>.</w:t>
      </w:r>
      <w:r w:rsidR="00F07D1A">
        <w:rPr>
          <w:rFonts w:hint="cs"/>
          <w:rtl/>
        </w:rPr>
        <w:t xml:space="preserve"> </w:t>
      </w:r>
    </w:p>
    <w:p w14:paraId="266CF14D" w14:textId="07B9B6A8" w:rsidR="00D7193C" w:rsidRPr="00FD5444" w:rsidRDefault="00F07D1A" w:rsidP="00357BD6">
      <w:pPr>
        <w:pStyle w:val="af"/>
        <w:numPr>
          <w:ilvl w:val="0"/>
          <w:numId w:val="7"/>
        </w:numPr>
        <w:jc w:val="left"/>
        <w:rPr>
          <w:rtl/>
        </w:rPr>
      </w:pPr>
      <w:r>
        <w:rPr>
          <w:rFonts w:hint="cs"/>
          <w:rtl/>
        </w:rPr>
        <w:t>כמו כן על המזכירות לדוור את ההחלטה לכל הגורמים</w:t>
      </w:r>
      <w:r w:rsidR="00AE2181">
        <w:rPr>
          <w:rFonts w:hint="cs"/>
          <w:rtl/>
        </w:rPr>
        <w:t xml:space="preserve"> </w:t>
      </w:r>
      <w:r>
        <w:rPr>
          <w:rFonts w:hint="cs"/>
          <w:rtl/>
        </w:rPr>
        <w:t>הקשורים לתיקי ההקדשות.</w:t>
      </w:r>
      <w:r w:rsidR="00FD5444">
        <w:rPr>
          <w:rtl/>
        </w:rPr>
        <w:t xml:space="preserve"> </w:t>
      </w:r>
    </w:p>
    <w:p w14:paraId="2A404CD6" w14:textId="77777777" w:rsidR="001E0429" w:rsidRPr="00CD4289" w:rsidRDefault="00AD2CFA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06892F4E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AD2CFA">
            <w:rPr>
              <w:sz w:val="28"/>
              <w:rtl/>
            </w:rPr>
            <w:t>כ"ב בטבת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AD2CFA">
            <w:rPr>
              <w:sz w:val="28"/>
              <w:rtl/>
            </w:rPr>
            <w:t>26/12/2021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AD2CFA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189E7267" w:rsidR="00371B63" w:rsidRPr="0061526B" w:rsidRDefault="00F07D1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197A77F" wp14:editId="6A313319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21D7B930" w:rsidR="00371B63" w:rsidRPr="0061526B" w:rsidRDefault="00AD2CF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BE8211B" wp14:editId="0845D1D1">
                      <wp:extent cx="1270000" cy="635000"/>
                      <wp:effectExtent l="0" t="0" r="6350" b="0"/>
                      <wp:docPr id="6" name="תמונה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4A2572FF" w:rsidR="00371B63" w:rsidRPr="0061526B" w:rsidRDefault="006F559A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19B97C5A" wp14:editId="174D84CF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AD2CFA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AD2CFA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AD2CFA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AD2CF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D159E27" w:rsidR="0011158D" w:rsidRPr="0045717F" w:rsidRDefault="00AD2CFA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26/12/2021 12:50</w:t>
          </w:r>
        </w:sdtContent>
      </w:sdt>
    </w:p>
    <w:sectPr w:rsidR="0011158D" w:rsidRPr="0045717F" w:rsidSect="003B28C0">
      <w:headerReference w:type="default" r:id="rId14"/>
      <w:footerReference w:type="default" r:id="rId15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107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4F08B6"/>
    <w:multiLevelType w:val="hybridMultilevel"/>
    <w:tmpl w:val="72464A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FrankRueh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" w15:restartNumberingAfterBreak="0">
    <w:nsid w:val="728C3EED"/>
    <w:multiLevelType w:val="hybridMultilevel"/>
    <w:tmpl w:val="72464ADC"/>
    <w:lvl w:ilvl="0" w:tplc="69CAC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FrankRueh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1ZVI4nmA6AJ/Lj3MahukMLaKNWfk8iKv8g47VPoAqBbXlVFzvvKcUaIj0WlOuWxcDkcneZ28k8RjFxT0/j5Zw==" w:salt="Rr7yRX8/j0iKaIOvT3UHX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54CF3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57BD6"/>
    <w:rsid w:val="00363C18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B55C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35C0E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559A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8363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7726E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3223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D2CFA"/>
    <w:rsid w:val="00AE0E93"/>
    <w:rsid w:val="00AE2181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51A2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45E32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254C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2986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07D1A"/>
    <w:rsid w:val="00F2006B"/>
    <w:rsid w:val="00F3066C"/>
    <w:rsid w:val="00F423D1"/>
    <w:rsid w:val="00F43F82"/>
    <w:rsid w:val="00F558B1"/>
    <w:rsid w:val="00F56382"/>
    <w:rsid w:val="00F7717C"/>
    <w:rsid w:val="00F84467"/>
    <w:rsid w:val="00FA3BBC"/>
    <w:rsid w:val="00FA5C0F"/>
    <w:rsid w:val="00FA66BA"/>
    <w:rsid w:val="00FB2CA6"/>
    <w:rsid w:val="00FB65E9"/>
    <w:rsid w:val="00FB72B1"/>
    <w:rsid w:val="00FC3186"/>
    <w:rsid w:val="00FD5444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10563404</ShiraDocID>
    <IconOverlay xmlns="http://schemas.microsoft.com/sharepoint/v4" xsi:nil="true"/>
    <DocUniqueNumber xmlns="350b8fcf-2ce9-4dda-bdc5-77d0d982505e">13917687</DocUniqueNumber>
    <_vti_ItemHoldRecordStatus xmlns="http://schemas.microsoft.com/sharepoint/v3">0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26DC-FB73-4D28-90DA-19AFD6B33D09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9EE7306-1D28-4DBA-9EE7-DF5A1C4F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258</Words>
  <Characters>1222</Characters>
  <Application>Microsoft Office Word</Application>
  <DocSecurity>8</DocSecurity>
  <Lines>74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43</cp:revision>
  <cp:lastPrinted>2016-02-03T07:04:00Z</cp:lastPrinted>
  <dcterms:created xsi:type="dcterms:W3CDTF">2016-07-07T12:21:00Z</dcterms:created>
  <dcterms:modified xsi:type="dcterms:W3CDTF">2021-12-26T10:50:00Z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10563404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