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6BD" w14:textId="49A77442" w:rsidR="00A82275" w:rsidRPr="00A82275" w:rsidRDefault="000403F0"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1353981/1</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גדול</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1CEC0586" w14:textId="77777777" w:rsidR="00CE2B53" w:rsidRPr="00116556" w:rsidRDefault="000403F0" w:rsidP="00CE2B53">
      <w:pPr>
        <w:tabs>
          <w:tab w:val="center" w:pos="4153"/>
          <w:tab w:val="right" w:pos="8306"/>
        </w:tabs>
        <w:overflowPunct w:val="0"/>
        <w:autoSpaceDE w:val="0"/>
        <w:autoSpaceDN w:val="0"/>
        <w:adjustRightInd w:val="0"/>
        <w:spacing w:after="240" w:line="276" w:lineRule="exact"/>
        <w:jc w:val="center"/>
        <w:rPr>
          <w:rFonts w:ascii="Times New Roman" w:hAnsi="Times New Roman" w:cs="Narkisim"/>
          <w:b/>
          <w:bCs/>
          <w:kern w:val="28"/>
          <w:sz w:val="23"/>
          <w:szCs w:val="23"/>
          <w:rtl/>
        </w:rPr>
      </w:pPr>
      <w:sdt>
        <w:sdtPr>
          <w:rPr>
            <w:rFonts w:ascii="Times New Roman" w:hAnsi="Times New Roman" w:cs="Narkisim"/>
            <w:kern w:val="28"/>
            <w:sz w:val="28"/>
            <w:szCs w:val="23"/>
            <w:rtl/>
          </w:rPr>
          <w:alias w:val="Judges"/>
          <w:tag w:val="Judges"/>
          <w:id w:val="-1068116543"/>
          <w:placeholder>
            <w:docPart w:val="88BE3BA8B1DB48CAA6DDEE63E58F7505"/>
          </w:placeholder>
          <w:temporary/>
        </w:sdtPr>
        <w:sdtEndPr/>
        <w:sdtContent>
          <w:r w:rsidR="00CE2B53" w:rsidRPr="00116556">
            <w:rPr>
              <w:rFonts w:ascii="Times New Roman" w:hAnsi="Times New Roman" w:cs="Narkisim"/>
              <w:b/>
              <w:bCs/>
              <w:kern w:val="28"/>
              <w:sz w:val="28"/>
              <w:szCs w:val="23"/>
              <w:rtl/>
            </w:rPr>
            <w:t>הרב שלמה שפירא</w:t>
          </w:r>
        </w:sdtContent>
      </w:sdt>
    </w:p>
    <w:tbl>
      <w:tblPr>
        <w:tblStyle w:val="a6"/>
        <w:bidiVisual/>
        <w:tblW w:w="94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
        <w:gridCol w:w="3325"/>
        <w:gridCol w:w="627"/>
        <w:gridCol w:w="1194"/>
        <w:gridCol w:w="3370"/>
      </w:tblGrid>
      <w:tr w:rsidR="00CE2B53" w:rsidRPr="00116556" w14:paraId="2C28E4AD" w14:textId="77777777" w:rsidTr="00207206">
        <w:trPr>
          <w:jc w:val="center"/>
        </w:trPr>
        <w:tc>
          <w:tcPr>
            <w:tcW w:w="964" w:type="dxa"/>
            <w:hideMark/>
          </w:tcPr>
          <w:p w14:paraId="259C9E41" w14:textId="77777777" w:rsidR="00CE2B53" w:rsidRPr="00116556" w:rsidRDefault="000403F0" w:rsidP="00207206">
            <w:pPr>
              <w:overflowPunct w:val="0"/>
              <w:autoSpaceDE w:val="0"/>
              <w:autoSpaceDN w:val="0"/>
              <w:adjustRightInd w:val="0"/>
              <w:spacing w:before="240" w:after="100" w:line="240" w:lineRule="exact"/>
              <w:rPr>
                <w:rFonts w:ascii="Times New Roman" w:eastAsia="Times New Roman" w:hAnsi="Times New Roman" w:cs="FrankRuehl"/>
                <w:sz w:val="26"/>
                <w:szCs w:val="26"/>
                <w:rtl/>
                <w:lang w:eastAsia="he-IL"/>
              </w:rPr>
            </w:pPr>
            <w:sdt>
              <w:sdtPr>
                <w:rPr>
                  <w:rFonts w:ascii="Times New Roman" w:eastAsia="Times New Roman" w:hAnsi="Times New Roman" w:cs="FrankRuehl"/>
                  <w:sz w:val="26"/>
                  <w:szCs w:val="26"/>
                  <w:rtl/>
                  <w:lang w:eastAsia="he-IL"/>
                </w:rPr>
                <w:alias w:val="SideA_SideTypeDesc"/>
                <w:tag w:val="SideA_SideTypeDesc"/>
                <w:id w:val="272888208"/>
                <w:placeholder>
                  <w:docPart w:val="F8467485D338496D87EC5C130E34D74D"/>
                </w:placeholder>
                <w:temporary/>
              </w:sdtPr>
              <w:sdtEndPr/>
              <w:sdtContent>
                <w:r w:rsidR="00CE2B53" w:rsidRPr="00116556">
                  <w:rPr>
                    <w:rFonts w:ascii="Times New Roman" w:eastAsia="Times New Roman" w:hAnsi="Times New Roman" w:cs="FrankRuehl"/>
                    <w:sz w:val="26"/>
                    <w:szCs w:val="26"/>
                    <w:rtl/>
                    <w:lang w:eastAsia="he-IL"/>
                  </w:rPr>
                  <w:t>המערער:</w:t>
                </w:r>
              </w:sdtContent>
            </w:sdt>
          </w:p>
        </w:tc>
        <w:tc>
          <w:tcPr>
            <w:tcW w:w="3273" w:type="dxa"/>
            <w:hideMark/>
          </w:tcPr>
          <w:p w14:paraId="046FDC6A" w14:textId="77777777" w:rsidR="00CE2B53" w:rsidRPr="00116556" w:rsidRDefault="00CE2B53" w:rsidP="00207206">
            <w:pPr>
              <w:overflowPunct w:val="0"/>
              <w:autoSpaceDE w:val="0"/>
              <w:autoSpaceDN w:val="0"/>
              <w:adjustRightInd w:val="0"/>
              <w:spacing w:before="240" w:after="100" w:line="240" w:lineRule="exact"/>
              <w:rPr>
                <w:rFonts w:ascii="Times New Roman" w:eastAsia="Times New Roman" w:hAnsi="Times New Roman" w:cs="FrankRuehl"/>
                <w:sz w:val="26"/>
                <w:szCs w:val="26"/>
                <w:rtl/>
                <w:lang w:eastAsia="he-IL"/>
              </w:rPr>
            </w:pPr>
            <w:r w:rsidRPr="00116556">
              <w:rPr>
                <w:rFonts w:ascii="Times New Roman" w:eastAsia="Times New Roman" w:hAnsi="Times New Roman" w:cs="FrankRuehl"/>
                <w:b/>
                <w:bCs/>
                <w:sz w:val="26"/>
                <w:szCs w:val="26"/>
                <w:rtl/>
                <w:lang w:eastAsia="he-IL"/>
              </w:rPr>
              <w:t>יורם גריידי</w:t>
            </w:r>
          </w:p>
        </w:tc>
        <w:tc>
          <w:tcPr>
            <w:tcW w:w="617" w:type="dxa"/>
            <w:hideMark/>
          </w:tcPr>
          <w:p w14:paraId="526775D8" w14:textId="77777777" w:rsidR="00CE2B53" w:rsidRPr="00116556" w:rsidRDefault="000403F0" w:rsidP="00207206">
            <w:pPr>
              <w:overflowPunct w:val="0"/>
              <w:autoSpaceDE w:val="0"/>
              <w:autoSpaceDN w:val="0"/>
              <w:adjustRightInd w:val="0"/>
              <w:spacing w:before="240" w:after="100" w:line="240" w:lineRule="exact"/>
              <w:rPr>
                <w:rFonts w:ascii="Times New Roman" w:eastAsia="Times New Roman" w:hAnsi="Times New Roman" w:cs="FrankRuehl"/>
                <w:sz w:val="26"/>
                <w:szCs w:val="26"/>
                <w:rtl/>
                <w:lang w:eastAsia="he-IL"/>
              </w:rPr>
            </w:pPr>
            <w:sdt>
              <w:sdtPr>
                <w:rPr>
                  <w:rFonts w:ascii="Times New Roman" w:eastAsia="Times New Roman" w:hAnsi="Times New Roman" w:cs="FrankRuehl"/>
                  <w:sz w:val="26"/>
                  <w:szCs w:val="26"/>
                  <w:rtl/>
                  <w:lang w:eastAsia="he-IL"/>
                </w:rPr>
                <w:alias w:val="AllSideA_IDType"/>
                <w:tag w:val="AllSideA_IDType"/>
                <w:id w:val="-1571886486"/>
                <w:placeholder>
                  <w:docPart w:val="5ADEE0D02219426CAFE8E688CD226A0D"/>
                </w:placeholder>
                <w:temporary/>
              </w:sdtPr>
              <w:sdtEndPr/>
              <w:sdtContent>
                <w:r w:rsidR="00CE2B53" w:rsidRPr="00116556">
                  <w:rPr>
                    <w:rFonts w:ascii="Times New Roman" w:eastAsia="Times New Roman" w:hAnsi="Times New Roman" w:cs="FrankRuehl"/>
                    <w:sz w:val="26"/>
                    <w:szCs w:val="26"/>
                    <w:rtl/>
                    <w:lang w:eastAsia="he-IL"/>
                  </w:rPr>
                  <w:t>ת"ז</w:t>
                </w:r>
              </w:sdtContent>
            </w:sdt>
          </w:p>
        </w:tc>
        <w:tc>
          <w:tcPr>
            <w:tcW w:w="1175" w:type="dxa"/>
            <w:hideMark/>
          </w:tcPr>
          <w:p w14:paraId="6620C72B" w14:textId="77777777" w:rsidR="00CE2B53" w:rsidRPr="00116556" w:rsidRDefault="000403F0" w:rsidP="00207206">
            <w:pPr>
              <w:overflowPunct w:val="0"/>
              <w:autoSpaceDE w:val="0"/>
              <w:autoSpaceDN w:val="0"/>
              <w:adjustRightInd w:val="0"/>
              <w:spacing w:before="240" w:after="100" w:line="240" w:lineRule="exact"/>
              <w:rPr>
                <w:rFonts w:ascii="Times New Roman" w:eastAsia="Times New Roman" w:hAnsi="Times New Roman" w:cs="FrankRuehl"/>
                <w:sz w:val="26"/>
                <w:szCs w:val="26"/>
                <w:rtl/>
                <w:lang w:eastAsia="he-IL"/>
              </w:rPr>
            </w:pPr>
            <w:sdt>
              <w:sdtPr>
                <w:rPr>
                  <w:rFonts w:ascii="Times New Roman" w:eastAsia="Times New Roman" w:hAnsi="Times New Roman" w:cs="FrankRuehl"/>
                  <w:sz w:val="26"/>
                  <w:szCs w:val="26"/>
                  <w:rtl/>
                  <w:lang w:eastAsia="he-IL"/>
                </w:rPr>
                <w:alias w:val="AllSideA_IDNum"/>
                <w:tag w:val="AllSideA_IDNum"/>
                <w:id w:val="1248845139"/>
                <w:placeholder>
                  <w:docPart w:val="2E525B025D4244189B71397E40EFA143"/>
                </w:placeholder>
                <w:temporary/>
              </w:sdtPr>
              <w:sdtEndPr/>
              <w:sdtContent>
                <w:r w:rsidR="00CE2B53" w:rsidRPr="00116556">
                  <w:rPr>
                    <w:rFonts w:ascii="Times New Roman" w:eastAsia="Times New Roman" w:hAnsi="Times New Roman" w:cs="FrankRuehl"/>
                    <w:b/>
                    <w:bCs/>
                    <w:sz w:val="26"/>
                    <w:szCs w:val="26"/>
                    <w:rtl/>
                    <w:lang w:eastAsia="he-IL"/>
                  </w:rPr>
                  <w:t>051922599</w:t>
                </w:r>
              </w:sdtContent>
            </w:sdt>
            <w:r w:rsidR="00CE2B53" w:rsidRPr="00116556">
              <w:rPr>
                <w:rFonts w:ascii="Times New Roman" w:eastAsia="Times New Roman" w:hAnsi="Times New Roman" w:cs="FrankRuehl"/>
                <w:sz w:val="26"/>
                <w:szCs w:val="26"/>
                <w:highlight w:val="red"/>
                <w:rtl/>
                <w:lang w:eastAsia="he-IL"/>
              </w:rPr>
              <w:t xml:space="preserve"> </w:t>
            </w:r>
          </w:p>
        </w:tc>
        <w:tc>
          <w:tcPr>
            <w:tcW w:w="3317" w:type="dxa"/>
            <w:hideMark/>
          </w:tcPr>
          <w:p w14:paraId="1285A573" w14:textId="77777777" w:rsidR="00CE2B53" w:rsidRPr="00116556" w:rsidRDefault="000403F0" w:rsidP="00207206">
            <w:pPr>
              <w:overflowPunct w:val="0"/>
              <w:autoSpaceDE w:val="0"/>
              <w:autoSpaceDN w:val="0"/>
              <w:adjustRightInd w:val="0"/>
              <w:spacing w:before="240" w:after="100" w:line="240" w:lineRule="exact"/>
              <w:rPr>
                <w:rFonts w:ascii="Times New Roman" w:eastAsia="Times New Roman" w:hAnsi="Times New Roman" w:cs="FrankRuehl"/>
                <w:rtl/>
                <w:lang w:eastAsia="he-IL"/>
              </w:rPr>
            </w:pPr>
            <w:sdt>
              <w:sdtPr>
                <w:rPr>
                  <w:rFonts w:ascii="Times New Roman" w:eastAsia="Times New Roman" w:hAnsi="Times New Roman" w:cs="FrankRuehl"/>
                  <w:rtl/>
                  <w:lang w:eastAsia="he-IL"/>
                </w:rPr>
                <w:alias w:val="AllSideA_Lawyer"/>
                <w:tag w:val="AllSideA_Lawyer"/>
                <w:id w:val="1917209175"/>
                <w:placeholder>
                  <w:docPart w:val="47602D4B5C8540FD8C74CD0ED3A32855"/>
                </w:placeholder>
                <w:temporary/>
              </w:sdtPr>
              <w:sdtEndPr/>
              <w:sdtContent>
                <w:r w:rsidR="00CE2B53" w:rsidRPr="00116556">
                  <w:rPr>
                    <w:rFonts w:ascii="Times New Roman" w:eastAsia="Times New Roman" w:hAnsi="Times New Roman" w:cs="FrankRuehl"/>
                    <w:rtl/>
                    <w:lang w:eastAsia="he-IL"/>
                  </w:rPr>
                  <w:t>(ע"י ב"כ עו"ד ישראל ענדען)</w:t>
                </w:r>
              </w:sdtContent>
            </w:sdt>
          </w:p>
        </w:tc>
      </w:tr>
      <w:tr w:rsidR="00CE2B53" w:rsidRPr="00116556" w14:paraId="5D9307B4" w14:textId="77777777" w:rsidTr="00207206">
        <w:trPr>
          <w:jc w:val="center"/>
        </w:trPr>
        <w:tc>
          <w:tcPr>
            <w:tcW w:w="964" w:type="dxa"/>
            <w:hideMark/>
          </w:tcPr>
          <w:p w14:paraId="37D987A8" w14:textId="77777777" w:rsidR="00CE2B53" w:rsidRPr="00116556" w:rsidRDefault="000403F0" w:rsidP="00207206">
            <w:pPr>
              <w:overflowPunct w:val="0"/>
              <w:autoSpaceDE w:val="0"/>
              <w:autoSpaceDN w:val="0"/>
              <w:adjustRightInd w:val="0"/>
              <w:spacing w:after="0" w:line="240" w:lineRule="exact"/>
              <w:rPr>
                <w:rFonts w:ascii="Times New Roman" w:eastAsia="Times New Roman" w:hAnsi="Times New Roman" w:cs="FrankRuehl"/>
                <w:sz w:val="26"/>
                <w:szCs w:val="26"/>
                <w:rtl/>
                <w:lang w:eastAsia="he-IL"/>
              </w:rPr>
            </w:pPr>
            <w:sdt>
              <w:sdtPr>
                <w:rPr>
                  <w:rFonts w:ascii="Times New Roman" w:eastAsia="Times New Roman" w:hAnsi="Times New Roman" w:cs="FrankRuehl"/>
                  <w:sz w:val="26"/>
                  <w:szCs w:val="26"/>
                  <w:rtl/>
                  <w:lang w:eastAsia="he-IL"/>
                </w:rPr>
                <w:alias w:val="SidesAgainst"/>
                <w:tag w:val="SidesAgainst"/>
                <w:id w:val="-738941406"/>
                <w:placeholder>
                  <w:docPart w:val="AF77CA9D4F05409AA0FD86C8763886A2"/>
                </w:placeholder>
                <w:temporary/>
              </w:sdtPr>
              <w:sdtEndPr/>
              <w:sdtContent>
                <w:r w:rsidR="00CE2B53" w:rsidRPr="00116556">
                  <w:rPr>
                    <w:rFonts w:ascii="Times New Roman" w:eastAsia="Times New Roman" w:hAnsi="Times New Roman" w:cs="FrankRuehl"/>
                    <w:sz w:val="26"/>
                    <w:szCs w:val="26"/>
                    <w:rtl/>
                    <w:lang w:eastAsia="he-IL"/>
                  </w:rPr>
                  <w:t>נגד</w:t>
                </w:r>
              </w:sdtContent>
            </w:sdt>
          </w:p>
        </w:tc>
        <w:tc>
          <w:tcPr>
            <w:tcW w:w="3273" w:type="dxa"/>
          </w:tcPr>
          <w:p w14:paraId="2F360476"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sz w:val="26"/>
                <w:szCs w:val="26"/>
                <w:rtl/>
                <w:lang w:eastAsia="he-IL"/>
              </w:rPr>
            </w:pPr>
          </w:p>
        </w:tc>
        <w:tc>
          <w:tcPr>
            <w:tcW w:w="617" w:type="dxa"/>
          </w:tcPr>
          <w:p w14:paraId="4655E0D5"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sz w:val="26"/>
                <w:szCs w:val="26"/>
                <w:rtl/>
                <w:lang w:eastAsia="he-IL"/>
              </w:rPr>
            </w:pPr>
          </w:p>
        </w:tc>
        <w:tc>
          <w:tcPr>
            <w:tcW w:w="1175" w:type="dxa"/>
          </w:tcPr>
          <w:p w14:paraId="679F2D88"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sz w:val="26"/>
                <w:szCs w:val="26"/>
                <w:rtl/>
                <w:lang w:eastAsia="he-IL"/>
              </w:rPr>
            </w:pPr>
          </w:p>
        </w:tc>
        <w:tc>
          <w:tcPr>
            <w:tcW w:w="3317" w:type="dxa"/>
          </w:tcPr>
          <w:p w14:paraId="60A2B8A9"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rtl/>
                <w:lang w:eastAsia="he-IL"/>
              </w:rPr>
            </w:pPr>
          </w:p>
        </w:tc>
      </w:tr>
      <w:tr w:rsidR="00CE2B53" w:rsidRPr="00116556" w14:paraId="2FE0B0AF" w14:textId="77777777" w:rsidTr="00207206">
        <w:trPr>
          <w:trHeight w:val="554"/>
          <w:jc w:val="center"/>
        </w:trPr>
        <w:tc>
          <w:tcPr>
            <w:tcW w:w="964" w:type="dxa"/>
            <w:hideMark/>
          </w:tcPr>
          <w:p w14:paraId="6C9B7C33" w14:textId="77777777" w:rsidR="00CE2B53" w:rsidRPr="00116556" w:rsidRDefault="000403F0" w:rsidP="00207206">
            <w:pPr>
              <w:overflowPunct w:val="0"/>
              <w:autoSpaceDE w:val="0"/>
              <w:autoSpaceDN w:val="0"/>
              <w:adjustRightInd w:val="0"/>
              <w:spacing w:after="100" w:line="240" w:lineRule="exact"/>
              <w:rPr>
                <w:rFonts w:ascii="Times New Roman" w:eastAsia="Times New Roman" w:hAnsi="Times New Roman" w:cs="FrankRuehl"/>
                <w:sz w:val="26"/>
                <w:szCs w:val="26"/>
                <w:rtl/>
                <w:lang w:eastAsia="he-IL"/>
              </w:rPr>
            </w:pPr>
            <w:sdt>
              <w:sdtPr>
                <w:rPr>
                  <w:rFonts w:ascii="Times New Roman" w:eastAsia="Times New Roman" w:hAnsi="Times New Roman" w:cs="FrankRuehl"/>
                  <w:sz w:val="26"/>
                  <w:szCs w:val="26"/>
                  <w:rtl/>
                  <w:lang w:eastAsia="he-IL"/>
                </w:rPr>
                <w:alias w:val="SideB_SideTypeDesc"/>
                <w:tag w:val="SideB_SideTypeDesc"/>
                <w:id w:val="-612983481"/>
                <w:placeholder>
                  <w:docPart w:val="900570E2309B4D518C255CE73AE816C0"/>
                </w:placeholder>
                <w:temporary/>
              </w:sdtPr>
              <w:sdtEndPr/>
              <w:sdtContent>
                <w:r w:rsidR="00CE2B53" w:rsidRPr="00116556">
                  <w:rPr>
                    <w:rFonts w:ascii="Times New Roman" w:eastAsia="Times New Roman" w:hAnsi="Times New Roman" w:cs="FrankRuehl"/>
                    <w:sz w:val="26"/>
                    <w:szCs w:val="26"/>
                    <w:rtl/>
                    <w:lang w:eastAsia="he-IL"/>
                  </w:rPr>
                  <w:t>המשיבים:</w:t>
                </w:r>
              </w:sdtContent>
            </w:sdt>
          </w:p>
        </w:tc>
        <w:tc>
          <w:tcPr>
            <w:tcW w:w="3273" w:type="dxa"/>
            <w:hideMark/>
          </w:tcPr>
          <w:p w14:paraId="23F89B61" w14:textId="77777777" w:rsidR="00CE2B53" w:rsidRPr="00116556" w:rsidRDefault="00CE2B53" w:rsidP="00207206">
            <w:pPr>
              <w:overflowPunct w:val="0"/>
              <w:autoSpaceDE w:val="0"/>
              <w:autoSpaceDN w:val="0"/>
              <w:adjustRightInd w:val="0"/>
              <w:spacing w:after="100" w:line="240" w:lineRule="exact"/>
              <w:rPr>
                <w:rFonts w:ascii="Times New Roman" w:eastAsia="Times New Roman" w:hAnsi="Times New Roman" w:cs="FrankRuehl"/>
                <w:sz w:val="26"/>
                <w:szCs w:val="26"/>
                <w:rtl/>
                <w:lang w:eastAsia="he-IL"/>
              </w:rPr>
            </w:pPr>
            <w:r w:rsidRPr="00116556">
              <w:rPr>
                <w:rFonts w:ascii="Times New Roman" w:eastAsia="Times New Roman" w:hAnsi="Times New Roman" w:cs="FrankRuehl"/>
                <w:b/>
                <w:bCs/>
                <w:sz w:val="26"/>
                <w:szCs w:val="26"/>
                <w:rtl/>
                <w:lang w:eastAsia="he-IL"/>
              </w:rPr>
              <w:t>הוועד הכללי לעדת התימנים בירושלים</w:t>
            </w:r>
            <w:r w:rsidRPr="00116556">
              <w:rPr>
                <w:rFonts w:ascii="Times New Roman" w:eastAsia="Times New Roman" w:hAnsi="Times New Roman" w:cs="FrankRuehl"/>
                <w:b/>
                <w:bCs/>
                <w:sz w:val="26"/>
                <w:szCs w:val="26"/>
                <w:rtl/>
                <w:lang w:eastAsia="he-IL"/>
              </w:rPr>
              <w:br/>
            </w:r>
          </w:p>
        </w:tc>
        <w:tc>
          <w:tcPr>
            <w:tcW w:w="617" w:type="dxa"/>
            <w:hideMark/>
          </w:tcPr>
          <w:p w14:paraId="136D8C9E" w14:textId="77777777" w:rsidR="00CE2B53" w:rsidRPr="00116556" w:rsidRDefault="00CE2B53" w:rsidP="00207206">
            <w:pPr>
              <w:overflowPunct w:val="0"/>
              <w:autoSpaceDE w:val="0"/>
              <w:autoSpaceDN w:val="0"/>
              <w:adjustRightInd w:val="0"/>
              <w:spacing w:after="100" w:line="240" w:lineRule="exact"/>
              <w:rPr>
                <w:rFonts w:ascii="Times New Roman" w:eastAsia="Times New Roman" w:hAnsi="Times New Roman" w:cs="FrankRuehl"/>
                <w:sz w:val="26"/>
                <w:szCs w:val="26"/>
                <w:rtl/>
                <w:lang w:eastAsia="he-IL"/>
              </w:rPr>
            </w:pPr>
            <w:r w:rsidRPr="00116556">
              <w:rPr>
                <w:rFonts w:ascii="Times New Roman" w:eastAsia="Times New Roman" w:hAnsi="Times New Roman" w:cs="FrankRuehl"/>
                <w:sz w:val="26"/>
                <w:szCs w:val="26"/>
                <w:rtl/>
                <w:lang w:eastAsia="he-IL"/>
              </w:rPr>
              <w:t>עמותה</w:t>
            </w:r>
          </w:p>
        </w:tc>
        <w:tc>
          <w:tcPr>
            <w:tcW w:w="1175" w:type="dxa"/>
            <w:hideMark/>
          </w:tcPr>
          <w:p w14:paraId="6CB83B99" w14:textId="77777777" w:rsidR="00CE2B53" w:rsidRPr="00116556" w:rsidRDefault="00CE2B53" w:rsidP="00207206">
            <w:pPr>
              <w:overflowPunct w:val="0"/>
              <w:autoSpaceDE w:val="0"/>
              <w:autoSpaceDN w:val="0"/>
              <w:adjustRightInd w:val="0"/>
              <w:spacing w:after="100" w:line="240" w:lineRule="exact"/>
              <w:rPr>
                <w:rFonts w:ascii="Times New Roman" w:eastAsia="Times New Roman" w:hAnsi="Times New Roman" w:cs="FrankRuehl"/>
                <w:sz w:val="26"/>
                <w:szCs w:val="26"/>
                <w:rtl/>
                <w:lang w:eastAsia="he-IL"/>
              </w:rPr>
            </w:pPr>
            <w:r w:rsidRPr="00116556">
              <w:rPr>
                <w:rFonts w:ascii="Times New Roman" w:eastAsia="Times New Roman" w:hAnsi="Times New Roman" w:cs="FrankRuehl"/>
                <w:b/>
                <w:bCs/>
                <w:sz w:val="26"/>
                <w:szCs w:val="26"/>
                <w:rtl/>
                <w:lang w:eastAsia="he-IL"/>
              </w:rPr>
              <w:t>920001357</w:t>
            </w:r>
            <w:r w:rsidRPr="00116556">
              <w:rPr>
                <w:rFonts w:ascii="Times New Roman" w:eastAsia="Times New Roman" w:hAnsi="Times New Roman" w:cs="FrankRuehl"/>
                <w:b/>
                <w:bCs/>
                <w:sz w:val="26"/>
                <w:szCs w:val="26"/>
                <w:rtl/>
                <w:lang w:eastAsia="he-IL"/>
              </w:rPr>
              <w:br/>
            </w:r>
          </w:p>
        </w:tc>
        <w:tc>
          <w:tcPr>
            <w:tcW w:w="3317" w:type="dxa"/>
            <w:hideMark/>
          </w:tcPr>
          <w:p w14:paraId="72D3513E"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rtl/>
                <w:lang w:eastAsia="he-IL"/>
              </w:rPr>
            </w:pPr>
            <w:r w:rsidRPr="00116556">
              <w:rPr>
                <w:rFonts w:ascii="Times New Roman" w:eastAsia="Times New Roman" w:hAnsi="Times New Roman" w:cs="FrankRuehl"/>
                <w:rtl/>
                <w:lang w:eastAsia="he-IL"/>
              </w:rPr>
              <w:t>(ע"י ב"כ עו"ד רויטל לורברבוים,</w:t>
            </w:r>
            <w:r w:rsidRPr="00116556">
              <w:rPr>
                <w:rFonts w:ascii="Times New Roman" w:eastAsia="Times New Roman" w:hAnsi="Times New Roman" w:cs="FrankRuehl"/>
                <w:rtl/>
                <w:lang w:eastAsia="he-IL"/>
              </w:rPr>
              <w:br/>
              <w:t>עו"ד משה לורברבוים ועו"ד ישראל ניסנבוים)</w:t>
            </w:r>
          </w:p>
        </w:tc>
      </w:tr>
      <w:tr w:rsidR="00CE2B53" w:rsidRPr="00116556" w14:paraId="42D2EA5D" w14:textId="77777777" w:rsidTr="00207206">
        <w:trPr>
          <w:trHeight w:val="270"/>
          <w:jc w:val="center"/>
        </w:trPr>
        <w:tc>
          <w:tcPr>
            <w:tcW w:w="964" w:type="dxa"/>
          </w:tcPr>
          <w:p w14:paraId="59E6F879" w14:textId="77777777" w:rsidR="00CE2B53" w:rsidRPr="00116556" w:rsidRDefault="00CE2B53" w:rsidP="00207206">
            <w:pPr>
              <w:overflowPunct w:val="0"/>
              <w:autoSpaceDE w:val="0"/>
              <w:autoSpaceDN w:val="0"/>
              <w:adjustRightInd w:val="0"/>
              <w:spacing w:after="100" w:line="240" w:lineRule="exact"/>
              <w:rPr>
                <w:rFonts w:ascii="Times New Roman" w:eastAsia="Times New Roman" w:hAnsi="Times New Roman" w:cs="FrankRuehl"/>
                <w:sz w:val="26"/>
                <w:szCs w:val="26"/>
                <w:rtl/>
                <w:lang w:eastAsia="he-IL"/>
              </w:rPr>
            </w:pPr>
          </w:p>
        </w:tc>
        <w:tc>
          <w:tcPr>
            <w:tcW w:w="5065" w:type="dxa"/>
            <w:gridSpan w:val="3"/>
            <w:hideMark/>
          </w:tcPr>
          <w:p w14:paraId="0CD71E11"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b/>
                <w:bCs/>
                <w:sz w:val="26"/>
                <w:szCs w:val="26"/>
                <w:rtl/>
                <w:lang w:eastAsia="he-IL"/>
              </w:rPr>
            </w:pPr>
            <w:r w:rsidRPr="00116556">
              <w:rPr>
                <w:rFonts w:ascii="Times New Roman" w:eastAsia="Times New Roman" w:hAnsi="Times New Roman" w:cs="FrankRuehl"/>
                <w:b/>
                <w:bCs/>
                <w:sz w:val="26"/>
                <w:szCs w:val="26"/>
                <w:rtl/>
                <w:lang w:eastAsia="he-IL"/>
              </w:rPr>
              <w:t>המנהל המיוחד להקדש 'אלשיך – נדף' עו"ד דעואל הכהן פלאי</w:t>
            </w:r>
          </w:p>
          <w:p w14:paraId="33A91911" w14:textId="77777777" w:rsidR="00CE2B53" w:rsidRPr="00116556" w:rsidRDefault="00CE2B53" w:rsidP="00207206">
            <w:pPr>
              <w:overflowPunct w:val="0"/>
              <w:autoSpaceDE w:val="0"/>
              <w:autoSpaceDN w:val="0"/>
              <w:adjustRightInd w:val="0"/>
              <w:spacing w:after="0" w:line="240" w:lineRule="exact"/>
              <w:rPr>
                <w:rFonts w:ascii="Times New Roman" w:eastAsia="Times New Roman" w:hAnsi="Times New Roman" w:cs="FrankRuehl"/>
                <w:b/>
                <w:bCs/>
                <w:sz w:val="26"/>
                <w:szCs w:val="26"/>
                <w:rtl/>
                <w:lang w:eastAsia="he-IL"/>
              </w:rPr>
            </w:pPr>
            <w:r w:rsidRPr="00116556">
              <w:rPr>
                <w:rFonts w:ascii="Times New Roman" w:eastAsia="Times New Roman" w:hAnsi="Times New Roman" w:cs="FrankRuehl"/>
                <w:b/>
                <w:bCs/>
                <w:sz w:val="26"/>
                <w:szCs w:val="26"/>
                <w:rtl/>
                <w:lang w:eastAsia="he-IL"/>
              </w:rPr>
              <w:t>הממונה על ההקדשות – הנהלת בתי הדין הרבניים</w:t>
            </w:r>
          </w:p>
        </w:tc>
        <w:tc>
          <w:tcPr>
            <w:tcW w:w="3317" w:type="dxa"/>
          </w:tcPr>
          <w:p w14:paraId="79335F10" w14:textId="77777777" w:rsidR="00CE2B53" w:rsidRPr="00116556" w:rsidRDefault="00CE2B53" w:rsidP="00207206">
            <w:pPr>
              <w:overflowPunct w:val="0"/>
              <w:autoSpaceDE w:val="0"/>
              <w:autoSpaceDN w:val="0"/>
              <w:adjustRightInd w:val="0"/>
              <w:spacing w:after="100" w:line="240" w:lineRule="exact"/>
              <w:rPr>
                <w:rFonts w:ascii="Times New Roman" w:eastAsia="Times New Roman" w:hAnsi="Times New Roman" w:cs="FrankRuehl"/>
                <w:sz w:val="24"/>
                <w:szCs w:val="24"/>
                <w:rtl/>
                <w:lang w:eastAsia="he-IL"/>
              </w:rPr>
            </w:pPr>
          </w:p>
        </w:tc>
      </w:tr>
    </w:tbl>
    <w:p w14:paraId="2A404CD3" w14:textId="5D3015DA" w:rsidR="00126104" w:rsidRPr="00F56382" w:rsidRDefault="00126104" w:rsidP="00872B36">
      <w:pPr>
        <w:pStyle w:val="afa"/>
        <w:spacing w:before="280"/>
        <w:rPr>
          <w:rtl/>
        </w:rPr>
      </w:pPr>
      <w:r w:rsidRPr="00F56382">
        <w:rPr>
          <w:rtl/>
        </w:rPr>
        <w:t>הנדון:</w:t>
      </w:r>
      <w:r w:rsidRPr="00F56382">
        <w:rPr>
          <w:rFonts w:hint="cs"/>
          <w:rtl/>
        </w:rPr>
        <w:t xml:space="preserve"> </w:t>
      </w:r>
      <w:r w:rsidR="00872B36" w:rsidRPr="00F56382">
        <w:rPr>
          <w:rFonts w:hint="cs"/>
          <w:rtl/>
        </w:rPr>
        <w:t>הקדשות, עיכוב ביצוע</w:t>
      </w:r>
    </w:p>
    <w:p w14:paraId="2A404CD4" w14:textId="77777777" w:rsidR="00872B36" w:rsidRDefault="00126104" w:rsidP="00573AF7">
      <w:pPr>
        <w:pStyle w:val="af3"/>
        <w:rPr>
          <w:rtl/>
        </w:rPr>
      </w:pPr>
      <w:r>
        <w:rPr>
          <w:rFonts w:hint="cs"/>
          <w:rtl/>
        </w:rPr>
        <w:t>החלטה</w:t>
      </w:r>
    </w:p>
    <w:p w14:paraId="2A404CD5" w14:textId="09B0E52A" w:rsidR="001E43C2" w:rsidRDefault="00535D93" w:rsidP="00127EA6">
      <w:pPr>
        <w:pStyle w:val="af"/>
        <w:jc w:val="left"/>
        <w:rPr>
          <w:rtl/>
        </w:rPr>
      </w:pPr>
      <w:r>
        <w:rPr>
          <w:rFonts w:hint="cs"/>
          <w:rtl/>
        </w:rPr>
        <w:t>א.</w:t>
      </w:r>
      <w:r>
        <w:rPr>
          <w:rtl/>
        </w:rPr>
        <w:tab/>
      </w:r>
      <w:r w:rsidR="00CE2B53">
        <w:rPr>
          <w:rFonts w:hint="cs"/>
          <w:rtl/>
        </w:rPr>
        <w:t>לפניי צבר בקשות ותגובות בעניינו של הקדש 'אלשיך נדף' (חיי אדם).</w:t>
      </w:r>
    </w:p>
    <w:p w14:paraId="12BF46C6" w14:textId="5A074B69" w:rsidR="00CE2B53" w:rsidRDefault="00CE2B53" w:rsidP="00CE2B53">
      <w:pPr>
        <w:pStyle w:val="af0"/>
        <w:rPr>
          <w:rtl/>
          <w:lang w:eastAsia="he-IL"/>
        </w:rPr>
      </w:pPr>
      <w:r>
        <w:rPr>
          <w:rFonts w:hint="cs"/>
          <w:rtl/>
          <w:lang w:eastAsia="he-IL"/>
        </w:rPr>
        <w:t xml:space="preserve">בתמצית ייאמר כי המנהל המיוחד והמפקחת על ההקדשות מבקשים לדחות את הערעור בנוגע להחלטה על מכירת נכס ההקדש ולדחות את בקשת עיכוב הביצוע </w:t>
      </w:r>
      <w:r w:rsidRPr="009F7997">
        <w:rPr>
          <w:rFonts w:hint="cs"/>
          <w:szCs w:val="24"/>
          <w:rtl/>
          <w:lang w:eastAsia="he-IL"/>
        </w:rPr>
        <w:t xml:space="preserve">(או ליתר דיוק שלא להאריך את עיכוב הביצוע) </w:t>
      </w:r>
      <w:r w:rsidRPr="009F4EB1">
        <w:rPr>
          <w:rFonts w:hint="cs"/>
          <w:sz w:val="28"/>
          <w:rtl/>
          <w:lang w:eastAsia="he-IL"/>
        </w:rPr>
        <w:t>אף אם משמעות</w:t>
      </w:r>
      <w:r>
        <w:rPr>
          <w:rFonts w:hint="cs"/>
          <w:rtl/>
          <w:lang w:eastAsia="he-IL"/>
        </w:rPr>
        <w:t xml:space="preserve"> הדבר, למעשה, היא איונו של הערעור גם אם לא יוחלט על דחייתו.</w:t>
      </w:r>
    </w:p>
    <w:p w14:paraId="5C4F277F" w14:textId="77777777" w:rsidR="00B13505" w:rsidRDefault="00CE2B53" w:rsidP="00CE2B53">
      <w:pPr>
        <w:pStyle w:val="af0"/>
        <w:rPr>
          <w:rtl/>
          <w:lang w:eastAsia="he-IL"/>
        </w:rPr>
      </w:pPr>
      <w:r>
        <w:rPr>
          <w:rFonts w:hint="cs"/>
          <w:rtl/>
          <w:lang w:eastAsia="he-IL"/>
        </w:rPr>
        <w:t>לעניין היותו של המנהל המיוחד משמש בפועל כעין 'נאמן יחיד' טוענים הללו להבחנה בין 'נאמני הקדש' שעליהם להיות שלושה לפחות ל'מנהל מיוחד', ולעניין זה יש צדק רב בדברי המערער כי 'שינוי השם' אינו 'שינוי מעשה' ומי שפועל ועושה כמעשי נאמני הקדש נדרש לעמוד בדרישות הנדרשות מנאמני ההקדש עצמם, שכן זיל בתר טעמא.</w:t>
      </w:r>
    </w:p>
    <w:p w14:paraId="48F79F81" w14:textId="21B1B385" w:rsidR="000936C6" w:rsidRDefault="00B13505" w:rsidP="00CE2B53">
      <w:pPr>
        <w:pStyle w:val="af0"/>
        <w:rPr>
          <w:rtl/>
          <w:lang w:eastAsia="he-IL"/>
        </w:rPr>
      </w:pPr>
      <w:r>
        <w:rPr>
          <w:rFonts w:hint="cs"/>
          <w:rtl/>
          <w:lang w:eastAsia="he-IL"/>
        </w:rPr>
        <w:t xml:space="preserve">עם זאת טענה נוספת בפי כתבם והיא שבפועל היה בית דין קמא עצמו מעורב בבחינת העובדות שהביאו להחלטה על מכירת נכס ההקדש ולאישור מכירתו בסכום שהוצע במידה כזו שאין פגם בהיותו של הנאמן או המנהל יחיד שכן אין אנו עוסקים במנהל הפועל בשליחותו של </w:t>
      </w:r>
      <w:r w:rsidR="009F7997">
        <w:rPr>
          <w:rFonts w:hint="cs"/>
          <w:rtl/>
          <w:lang w:eastAsia="he-IL"/>
        </w:rPr>
        <w:t>בית הדין</w:t>
      </w:r>
      <w:r>
        <w:rPr>
          <w:rFonts w:hint="cs"/>
          <w:rtl/>
          <w:lang w:eastAsia="he-IL"/>
        </w:rPr>
        <w:t xml:space="preserve"> כשזה מפקח מרחוק ומאשר את הדברים מראש או בדיעבד אלא שפעולות ש</w:t>
      </w:r>
      <w:r w:rsidR="009F7997">
        <w:rPr>
          <w:rFonts w:hint="cs"/>
          <w:rtl/>
          <w:lang w:eastAsia="he-IL"/>
        </w:rPr>
        <w:t>בית הדין</w:t>
      </w:r>
      <w:r>
        <w:rPr>
          <w:rFonts w:hint="cs"/>
          <w:rtl/>
          <w:lang w:eastAsia="he-IL"/>
        </w:rPr>
        <w:t xml:space="preserve"> עצמו כביכול פועל בהן בעצמו, כאביהן של ההקדשות, כביכול הוא עצמו מוכר את נכס ההקדש לאחר שבחן בעצמו את הנסיבות והגיע למסקנה בדבר ההכרח בכך. אם נבקש לדמות מילתא למילתא, אף שאין הדברים אמורים בפירוש בדברי המנהל המיוחד והמפקחת על ההקדשות, הרי הם כאומרים כי במקרה זה שימש המנהל המיוחד לא כנציג ההקדש אלא כמתווך בין </w:t>
      </w:r>
      <w:r w:rsidR="009F7997">
        <w:rPr>
          <w:rFonts w:hint="cs"/>
          <w:rtl/>
          <w:lang w:eastAsia="he-IL"/>
        </w:rPr>
        <w:t>בית הדין</w:t>
      </w:r>
      <w:r>
        <w:rPr>
          <w:rFonts w:hint="cs"/>
          <w:rtl/>
          <w:lang w:eastAsia="he-IL"/>
        </w:rPr>
        <w:t xml:space="preserve"> כנציג ההקדש לבין הגורמים המקצועיים שנתנו את חוות הדעת בנוגע למצבו של ההקדש </w:t>
      </w:r>
      <w:r w:rsidR="000936C6">
        <w:rPr>
          <w:rFonts w:hint="cs"/>
          <w:rtl/>
          <w:lang w:eastAsia="he-IL"/>
        </w:rPr>
        <w:t>ולבין הקונה המיועד של הנכס.</w:t>
      </w:r>
    </w:p>
    <w:p w14:paraId="1C19F6A8" w14:textId="77777777" w:rsidR="000936C6" w:rsidRDefault="000936C6" w:rsidP="00CE2B53">
      <w:pPr>
        <w:pStyle w:val="af0"/>
        <w:rPr>
          <w:rtl/>
          <w:lang w:eastAsia="he-IL"/>
        </w:rPr>
      </w:pPr>
      <w:r>
        <w:rPr>
          <w:rFonts w:hint="cs"/>
          <w:rtl/>
          <w:lang w:eastAsia="he-IL"/>
        </w:rPr>
        <w:t xml:space="preserve">טענה זו העוסקת במהות ולא בשאלת שינוי השם </w:t>
      </w:r>
      <w:r>
        <w:rPr>
          <w:rtl/>
          <w:lang w:eastAsia="he-IL"/>
        </w:rPr>
        <w:t>–</w:t>
      </w:r>
      <w:r>
        <w:rPr>
          <w:rFonts w:hint="cs"/>
          <w:rtl/>
          <w:lang w:eastAsia="he-IL"/>
        </w:rPr>
        <w:t xml:space="preserve"> טענה היא.</w:t>
      </w:r>
    </w:p>
    <w:p w14:paraId="6182F654" w14:textId="4A35F799" w:rsidR="00AC58A2" w:rsidRPr="009F4EB1" w:rsidRDefault="000936C6" w:rsidP="00CE2B53">
      <w:pPr>
        <w:pStyle w:val="af0"/>
        <w:rPr>
          <w:sz w:val="28"/>
          <w:rtl/>
          <w:lang w:eastAsia="he-IL"/>
        </w:rPr>
      </w:pPr>
      <w:r>
        <w:rPr>
          <w:rFonts w:hint="cs"/>
          <w:rtl/>
          <w:lang w:eastAsia="he-IL"/>
        </w:rPr>
        <w:t xml:space="preserve">לגופו של עניין טוענים הם גם בנוגע לדחיפות המכר. בעניין זה אני מוצא לנכון להעיר כי הטענה היא להיות הנכס במצבו הנוכחי מסוכן, ובהקשר זה בזיקה למיקומו של הנכס ברח' חיי אדם ולכינויו של ההקדש על שם מיקום זה מדבר המנהל המיוחד על 'סכנה לחיי אדם' תרתי משמע. המנהל המיוחד אף ממליץ בהקשר זה </w:t>
      </w:r>
      <w:r w:rsidRPr="009F7997">
        <w:rPr>
          <w:rFonts w:hint="cs"/>
          <w:szCs w:val="24"/>
          <w:rtl/>
          <w:lang w:eastAsia="he-IL"/>
        </w:rPr>
        <w:t xml:space="preserve">(ולרבות בהקשר לסטייה מהסדר התקין בהיבט של החלטות בלתי </w:t>
      </w:r>
      <w:r w:rsidRPr="009F7997">
        <w:rPr>
          <w:rFonts w:hint="cs"/>
          <w:szCs w:val="24"/>
          <w:rtl/>
          <w:lang w:eastAsia="he-IL"/>
        </w:rPr>
        <w:lastRenderedPageBreak/>
        <w:t xml:space="preserve">הפיכות המתקבלות בידי מנהל מיוחד, זמני לכאורה, ויחיד </w:t>
      </w:r>
      <w:r w:rsidRPr="009F7997">
        <w:rPr>
          <w:szCs w:val="24"/>
          <w:rtl/>
          <w:lang w:eastAsia="he-IL"/>
        </w:rPr>
        <w:t>–</w:t>
      </w:r>
      <w:r w:rsidRPr="009F7997">
        <w:rPr>
          <w:rFonts w:hint="cs"/>
          <w:szCs w:val="24"/>
          <w:rtl/>
          <w:lang w:eastAsia="he-IL"/>
        </w:rPr>
        <w:t xml:space="preserve"> מעבר לאמור לעיל בהקשר זה) </w:t>
      </w:r>
      <w:r w:rsidRPr="009F4EB1">
        <w:rPr>
          <w:rFonts w:hint="cs"/>
          <w:sz w:val="28"/>
          <w:rtl/>
          <w:lang w:eastAsia="he-IL"/>
        </w:rPr>
        <w:t>את המימרה 'פי</w:t>
      </w:r>
      <w:r w:rsidR="009F4EB1">
        <w:rPr>
          <w:rFonts w:hint="cs"/>
          <w:sz w:val="28"/>
          <w:rtl/>
          <w:lang w:eastAsia="he-IL"/>
        </w:rPr>
        <w:t>ק</w:t>
      </w:r>
      <w:r w:rsidRPr="009F4EB1">
        <w:rPr>
          <w:rFonts w:hint="cs"/>
          <w:sz w:val="28"/>
          <w:rtl/>
          <w:lang w:eastAsia="he-IL"/>
        </w:rPr>
        <w:t xml:space="preserve">וח נפש דוחה את כל התורה'. </w:t>
      </w:r>
    </w:p>
    <w:p w14:paraId="64E4DF79" w14:textId="0B46504A" w:rsidR="00CE2B53" w:rsidRDefault="000936C6" w:rsidP="00CE2B53">
      <w:pPr>
        <w:pStyle w:val="af0"/>
        <w:rPr>
          <w:rtl/>
          <w:lang w:eastAsia="he-IL"/>
        </w:rPr>
      </w:pPr>
      <w:r>
        <w:rPr>
          <w:rFonts w:hint="cs"/>
          <w:rtl/>
          <w:lang w:eastAsia="he-IL"/>
        </w:rPr>
        <w:t xml:space="preserve">אלא שכאן חובה להעיר: לו היה מדובר במכירה העשויה באורח פלא להציל חיי אדם כפשוטו היה מקום אולי לשקול טענה זו, אף שעדיין היה מקום לשקול אם אומנם כך הם פני הדברים, אם אין דרכים למנוע את הסכנה, ולפחות את זו המיידית, באמצעים אחרים שאינם עלולים להסב הפסד להקדש </w:t>
      </w:r>
      <w:r>
        <w:rPr>
          <w:rtl/>
          <w:lang w:eastAsia="he-IL"/>
        </w:rPr>
        <w:t>–</w:t>
      </w:r>
      <w:r>
        <w:rPr>
          <w:rFonts w:hint="cs"/>
          <w:rtl/>
          <w:lang w:eastAsia="he-IL"/>
        </w:rPr>
        <w:t xml:space="preserve"> אם אכן נכונות הטענות </w:t>
      </w:r>
      <w:r w:rsidR="00AC58A2">
        <w:rPr>
          <w:rFonts w:hint="cs"/>
          <w:rtl/>
          <w:lang w:eastAsia="he-IL"/>
        </w:rPr>
        <w:t xml:space="preserve">בעניין הפסדי המכירה </w:t>
      </w:r>
      <w:r w:rsidR="00AC58A2" w:rsidRPr="009F7997">
        <w:rPr>
          <w:rFonts w:hint="cs"/>
          <w:szCs w:val="24"/>
          <w:rtl/>
          <w:lang w:eastAsia="he-IL"/>
        </w:rPr>
        <w:t>(אם כי המנהל המיוחד טוען גם נגד טענות אלה עצמן</w:t>
      </w:r>
      <w:r w:rsidR="00F2238F">
        <w:rPr>
          <w:rFonts w:hint="cs"/>
          <w:szCs w:val="24"/>
          <w:rtl/>
          <w:lang w:eastAsia="he-IL"/>
        </w:rPr>
        <w:t>)</w:t>
      </w:r>
      <w:r w:rsidR="00AC58A2" w:rsidRPr="009F4EB1">
        <w:rPr>
          <w:rFonts w:hint="cs"/>
          <w:sz w:val="28"/>
          <w:rtl/>
          <w:lang w:eastAsia="he-IL"/>
        </w:rPr>
        <w:t>,</w:t>
      </w:r>
      <w:r w:rsidRPr="009F4EB1">
        <w:rPr>
          <w:rFonts w:hint="cs"/>
          <w:sz w:val="28"/>
          <w:rtl/>
          <w:lang w:eastAsia="he-IL"/>
        </w:rPr>
        <w:t xml:space="preserve"> ואם הסכנה</w:t>
      </w:r>
      <w:r>
        <w:rPr>
          <w:rFonts w:hint="cs"/>
          <w:rtl/>
          <w:lang w:eastAsia="he-IL"/>
        </w:rPr>
        <w:t xml:space="preserve"> אינה נובעת במישרין</w:t>
      </w:r>
      <w:r w:rsidR="00AC58A2">
        <w:rPr>
          <w:rFonts w:hint="cs"/>
          <w:rtl/>
          <w:lang w:eastAsia="he-IL"/>
        </w:rPr>
        <w:t xml:space="preserve"> מחלקו של ההקדש במבנה אם יש מקום לכוף את ההקדש להפסד בגין חשש סכנה זה ואכמ"ל בחילוקים שבין סוגיות מציל עצמו בממון חברו למציל את חברו ושיבר את הכלים וכו'</w:t>
      </w:r>
      <w:r w:rsidR="009F7997">
        <w:rPr>
          <w:rFonts w:hint="cs"/>
          <w:rtl/>
          <w:lang w:eastAsia="he-IL"/>
        </w:rPr>
        <w:t xml:space="preserve"> </w:t>
      </w:r>
    </w:p>
    <w:p w14:paraId="194C7BF7" w14:textId="6568DC01" w:rsidR="00AC58A2" w:rsidRDefault="00AC58A2" w:rsidP="00CE2B53">
      <w:pPr>
        <w:pStyle w:val="af0"/>
        <w:rPr>
          <w:rtl/>
          <w:lang w:eastAsia="he-IL"/>
        </w:rPr>
      </w:pPr>
      <w:r>
        <w:rPr>
          <w:rFonts w:hint="cs"/>
          <w:rtl/>
          <w:lang w:eastAsia="he-IL"/>
        </w:rPr>
        <w:t xml:space="preserve">ברם, ברי כי לא בכך מדובר: לא מצאתי טענה של ממש, ומתקשה אני לראות לעת עתה היגיון בטענה, כי חיי אדם עשויים להינצל על ידי מכירת נכס ההקדש לקונה המיועד </w:t>
      </w:r>
      <w:r>
        <w:rPr>
          <w:rtl/>
          <w:lang w:eastAsia="he-IL"/>
        </w:rPr>
        <w:t>–</w:t>
      </w:r>
      <w:r>
        <w:rPr>
          <w:rFonts w:hint="cs"/>
          <w:rtl/>
          <w:lang w:eastAsia="he-IL"/>
        </w:rPr>
        <w:t xml:space="preserve"> קונה שלפי הנראה מהחומר אחראי בעצמו ליצירת המפגעים והסיכונים וקשה לשער כי ימהר להוזיל ממון מכיסו לתיקונם יותר משימהרו מנהלי ונאמני ההקדש אם הם שיידרשו לעשות זאת, ואדרבה נראה לכאורה כי הוא דוו</w:t>
      </w:r>
      <w:r w:rsidR="00F2238F">
        <w:rPr>
          <w:rFonts w:hint="cs"/>
          <w:rtl/>
          <w:lang w:eastAsia="he-IL"/>
        </w:rPr>
        <w:t>ק</w:t>
      </w:r>
      <w:r>
        <w:rPr>
          <w:rFonts w:hint="cs"/>
          <w:rtl/>
          <w:lang w:eastAsia="he-IL"/>
        </w:rPr>
        <w:t>א מן הנוקטים בשיטת ההיסמכות על הנס.</w:t>
      </w:r>
    </w:p>
    <w:p w14:paraId="128E4754" w14:textId="77777777" w:rsidR="00C366F6" w:rsidRDefault="00AC58A2" w:rsidP="00CE2B53">
      <w:pPr>
        <w:pStyle w:val="af0"/>
        <w:rPr>
          <w:rtl/>
          <w:lang w:eastAsia="he-IL"/>
        </w:rPr>
      </w:pPr>
      <w:r>
        <w:rPr>
          <w:rFonts w:hint="cs"/>
          <w:rtl/>
          <w:lang w:eastAsia="he-IL"/>
        </w:rPr>
        <w:t xml:space="preserve">הטענה כי אם חלילה יקרה אסון בעת שההקדש הוא בעליו של הנכס יביא הדבר להתמוטטתו הכלכלית של ההקדש </w:t>
      </w:r>
      <w:r>
        <w:rPr>
          <w:rtl/>
          <w:lang w:eastAsia="he-IL"/>
        </w:rPr>
        <w:t>–</w:t>
      </w:r>
      <w:r>
        <w:rPr>
          <w:rFonts w:hint="cs"/>
          <w:rtl/>
          <w:lang w:eastAsia="he-IL"/>
        </w:rPr>
        <w:t xml:space="preserve"> המובן השני של 'סכנה לחיי אדם' בדברי המנהל המיוחד </w:t>
      </w:r>
      <w:r w:rsidR="00C366F6">
        <w:rPr>
          <w:rtl/>
          <w:lang w:eastAsia="he-IL"/>
        </w:rPr>
        <w:t>–</w:t>
      </w:r>
      <w:r w:rsidR="00C366F6">
        <w:rPr>
          <w:rFonts w:hint="cs"/>
          <w:rtl/>
          <w:lang w:eastAsia="he-IL"/>
        </w:rPr>
        <w:t xml:space="preserve"> היא טענה שאף אם נכונה היא במלואה, ואם אם לא נשאל את השאלה האם אומנם די במכירת הנכס כדי שלא יהיה ההקדש חשוף לתביעה אף אם יצירת המפגעים הייתה בעת היות הנכס בבעלותו המלאה או החלקית והללו לא תוקנו במשך זמן שבו נמשכה בעלות זו, מכל מקום אינה בבחינת 'פיקוח נפש'. </w:t>
      </w:r>
    </w:p>
    <w:p w14:paraId="46E31748" w14:textId="77777777" w:rsidR="00C366F6" w:rsidRDefault="00C366F6" w:rsidP="00CE2B53">
      <w:pPr>
        <w:pStyle w:val="af0"/>
        <w:rPr>
          <w:rtl/>
          <w:lang w:eastAsia="he-IL"/>
        </w:rPr>
      </w:pPr>
      <w:r>
        <w:rPr>
          <w:rFonts w:hint="cs"/>
          <w:rtl/>
          <w:lang w:eastAsia="he-IL"/>
        </w:rPr>
        <w:t>כללו של דבר:</w:t>
      </w:r>
    </w:p>
    <w:p w14:paraId="2FCB8DA7" w14:textId="712BCCCF" w:rsidR="00C366F6" w:rsidRDefault="00C366F6" w:rsidP="00CE2B53">
      <w:pPr>
        <w:pStyle w:val="af0"/>
        <w:rPr>
          <w:rtl/>
          <w:lang w:eastAsia="he-IL"/>
        </w:rPr>
      </w:pPr>
      <w:r>
        <w:rPr>
          <w:rFonts w:hint="cs"/>
          <w:rtl/>
          <w:lang w:eastAsia="he-IL"/>
        </w:rPr>
        <w:t xml:space="preserve">פיקוח נפשם של הבריות אומנם דוחה הרבה אך לא הוא העומד על הפרק בשאלת המכירה, ואולי להפך: דווקא שעה שלהקדש ולמנהל המיוחד יש אחריות על הנכס יכולים הם לפעול למניעת או צמצום הסיכונים </w:t>
      </w:r>
      <w:r w:rsidRPr="009F7997">
        <w:rPr>
          <w:rFonts w:hint="cs"/>
          <w:szCs w:val="24"/>
          <w:rtl/>
          <w:lang w:eastAsia="he-IL"/>
        </w:rPr>
        <w:t xml:space="preserve">(לרבות באמצעות פנייה לרשויות השונות, גם אם פנייה זו תזיק להקדש, כלכלית, כדי שאותן רשויות יפעילו את הסמכויות הדרושות להריסת חלקי מבנה שלא רק שאינם בהיתר אלא שאף נשקפת מהם סכנה או למצער ימנעו את השימוש בהם עד לסילוק הסכנה [כך למשל בנוגע לדירה שלפי הנטען סמוכה מדי לעמוד חשמל]), </w:t>
      </w:r>
      <w:r w:rsidRPr="009F4EB1">
        <w:rPr>
          <w:rFonts w:hint="cs"/>
          <w:sz w:val="28"/>
          <w:rtl/>
          <w:lang w:eastAsia="he-IL"/>
        </w:rPr>
        <w:t>ואילו במכירה</w:t>
      </w:r>
      <w:r>
        <w:rPr>
          <w:rFonts w:hint="cs"/>
          <w:rtl/>
          <w:lang w:eastAsia="he-IL"/>
        </w:rPr>
        <w:t xml:space="preserve"> לאדם שספק אם אפשר לסמוך עליו בעניין זה </w:t>
      </w:r>
      <w:r>
        <w:rPr>
          <w:rtl/>
          <w:lang w:eastAsia="he-IL"/>
        </w:rPr>
        <w:t>–</w:t>
      </w:r>
      <w:r>
        <w:rPr>
          <w:rFonts w:hint="cs"/>
          <w:rtl/>
          <w:lang w:eastAsia="he-IL"/>
        </w:rPr>
        <w:t xml:space="preserve"> אולי יאמרו הם 'את נפשי הצלתי', אך הצלת נפשות לא תהיה.</w:t>
      </w:r>
    </w:p>
    <w:p w14:paraId="385D27C5" w14:textId="318C2496" w:rsidR="00C366F6" w:rsidRDefault="00C366F6" w:rsidP="00CE2B53">
      <w:pPr>
        <w:pStyle w:val="af0"/>
        <w:rPr>
          <w:rtl/>
          <w:lang w:eastAsia="he-IL"/>
        </w:rPr>
      </w:pPr>
      <w:r>
        <w:rPr>
          <w:rFonts w:hint="cs"/>
          <w:rtl/>
          <w:lang w:eastAsia="he-IL"/>
        </w:rPr>
        <w:t xml:space="preserve">פיקוח 'נפשו' של ההקדש לעומת זאת </w:t>
      </w:r>
      <w:r w:rsidR="00DF79A2">
        <w:rPr>
          <w:rFonts w:hint="cs"/>
          <w:rtl/>
          <w:lang w:eastAsia="he-IL"/>
        </w:rPr>
        <w:t xml:space="preserve">אינו דוחה דבר, אין הוא אלא שאלה כלכלית הצריכה להישקל במאזניים שבהן נשקלות שאלות כלכליות וגם אם נניח שאכן יש סיכון כלכלי ברור להקדש אם תידחה המכירה ושיש ביטחון כלכלי אם לא תידחה </w:t>
      </w:r>
      <w:r w:rsidR="00DF79A2" w:rsidRPr="009F7997">
        <w:rPr>
          <w:rFonts w:hint="cs"/>
          <w:szCs w:val="24"/>
          <w:rtl/>
          <w:lang w:eastAsia="he-IL"/>
        </w:rPr>
        <w:t xml:space="preserve">(היינו ביטחון כי לאחר המכירה לא </w:t>
      </w:r>
      <w:r w:rsidR="00F57308">
        <w:rPr>
          <w:rFonts w:hint="cs"/>
          <w:szCs w:val="24"/>
          <w:rtl/>
          <w:lang w:eastAsia="he-IL"/>
        </w:rPr>
        <w:t>יהיה</w:t>
      </w:r>
      <w:r w:rsidR="00DF79A2" w:rsidRPr="009F7997">
        <w:rPr>
          <w:rFonts w:hint="cs"/>
          <w:szCs w:val="24"/>
          <w:rtl/>
          <w:lang w:eastAsia="he-IL"/>
        </w:rPr>
        <w:t xml:space="preserve"> ההקדש חשוף לתביעה) </w:t>
      </w:r>
      <w:r w:rsidR="00DF79A2" w:rsidRPr="009F7997">
        <w:rPr>
          <w:szCs w:val="24"/>
          <w:rtl/>
          <w:lang w:eastAsia="he-IL"/>
        </w:rPr>
        <w:t>–</w:t>
      </w:r>
      <w:r w:rsidR="00DF79A2" w:rsidRPr="009F7997">
        <w:rPr>
          <w:rFonts w:hint="cs"/>
          <w:szCs w:val="24"/>
          <w:rtl/>
          <w:lang w:eastAsia="he-IL"/>
        </w:rPr>
        <w:t xml:space="preserve"> </w:t>
      </w:r>
      <w:r w:rsidR="00DF79A2" w:rsidRPr="009F4EB1">
        <w:rPr>
          <w:rFonts w:hint="cs"/>
          <w:sz w:val="28"/>
          <w:rtl/>
          <w:lang w:eastAsia="he-IL"/>
        </w:rPr>
        <w:t>עדיין</w:t>
      </w:r>
      <w:r w:rsidR="00DF79A2">
        <w:rPr>
          <w:rFonts w:hint="cs"/>
          <w:rtl/>
          <w:lang w:eastAsia="he-IL"/>
        </w:rPr>
        <w:t xml:space="preserve"> שאלת הדחייה, ובוודאי לפרק זמן קצוב שעד לדיון בערעור, היא שאלה של סיכון מול סיכוי במישור הכלכלי גרידא. לא שאלה של פיקוח נפש.</w:t>
      </w:r>
    </w:p>
    <w:p w14:paraId="2C4AFB61" w14:textId="4C3FE3D1" w:rsidR="00DF79A2" w:rsidRDefault="00DF79A2" w:rsidP="00CE2B53">
      <w:pPr>
        <w:pStyle w:val="af0"/>
        <w:rPr>
          <w:rtl/>
          <w:lang w:eastAsia="he-IL"/>
        </w:rPr>
      </w:pPr>
      <w:r>
        <w:rPr>
          <w:rFonts w:hint="cs"/>
          <w:rtl/>
          <w:lang w:eastAsia="he-IL"/>
        </w:rPr>
        <w:t>ועם כל זה ולאחר כל זה:</w:t>
      </w:r>
    </w:p>
    <w:p w14:paraId="008B66FF" w14:textId="267CAD42" w:rsidR="006C2406" w:rsidRDefault="00DF79A2" w:rsidP="00CE2B53">
      <w:pPr>
        <w:pStyle w:val="af0"/>
        <w:rPr>
          <w:rtl/>
          <w:lang w:eastAsia="he-IL"/>
        </w:rPr>
      </w:pPr>
      <w:r>
        <w:rPr>
          <w:rFonts w:hint="cs"/>
          <w:rtl/>
          <w:lang w:eastAsia="he-IL"/>
        </w:rPr>
        <w:t>עסקתי כבר בהחלטות קודמות במעמדו המעורער, משפטית, של המערער, בהליך זה, ואף שקבעתי כי יש לאפשר לו זכות עמידה בנסיבות העניין,</w:t>
      </w:r>
      <w:r w:rsidR="00F2238F">
        <w:rPr>
          <w:rFonts w:hint="cs"/>
          <w:rtl/>
          <w:lang w:eastAsia="he-IL"/>
        </w:rPr>
        <w:t xml:space="preserve"> ושלא כעמדת המנהל המיוחד,</w:t>
      </w:r>
      <w:r>
        <w:rPr>
          <w:rFonts w:hint="cs"/>
          <w:rtl/>
          <w:lang w:eastAsia="he-IL"/>
        </w:rPr>
        <w:t xml:space="preserve"> ברי כי לזכות זו יש לשים גבולות, ועיכוב המכירה עוד ועוד מכוחו של מערער כזה </w:t>
      </w:r>
      <w:r>
        <w:rPr>
          <w:rtl/>
          <w:lang w:eastAsia="he-IL"/>
        </w:rPr>
        <w:t>–</w:t>
      </w:r>
      <w:r>
        <w:rPr>
          <w:rFonts w:hint="cs"/>
          <w:rtl/>
          <w:lang w:eastAsia="he-IL"/>
        </w:rPr>
        <w:t xml:space="preserve"> אינו סביר. </w:t>
      </w:r>
    </w:p>
    <w:p w14:paraId="4ED93D87" w14:textId="2CDB5AB9" w:rsidR="00DF79A2" w:rsidRDefault="006C2406" w:rsidP="00CE2B53">
      <w:pPr>
        <w:pStyle w:val="af0"/>
        <w:rPr>
          <w:rtl/>
          <w:lang w:eastAsia="he-IL"/>
        </w:rPr>
      </w:pPr>
      <w:r>
        <w:rPr>
          <w:rFonts w:hint="cs"/>
          <w:rtl/>
          <w:lang w:eastAsia="he-IL"/>
        </w:rPr>
        <w:t>ה</w:t>
      </w:r>
      <w:r w:rsidR="00DF79A2">
        <w:rPr>
          <w:rFonts w:hint="cs"/>
          <w:rtl/>
          <w:lang w:eastAsia="he-IL"/>
        </w:rPr>
        <w:t>עיכוב שעיכבתי את המכירה למרות זאת היה גם ובעיקר, כאמור בהחלטה קודמת, משום שהמכר אושר במועד שבו לו היה נשמע הע</w:t>
      </w:r>
      <w:r w:rsidR="000403F0">
        <w:rPr>
          <w:rFonts w:hint="cs"/>
          <w:rtl/>
          <w:lang w:eastAsia="he-IL"/>
        </w:rPr>
        <w:t>ר</w:t>
      </w:r>
      <w:r w:rsidR="00F57308">
        <w:rPr>
          <w:rFonts w:hint="cs"/>
          <w:rtl/>
          <w:lang w:eastAsia="he-IL"/>
        </w:rPr>
        <w:t>עור</w:t>
      </w:r>
      <w:r w:rsidR="00DF79A2">
        <w:rPr>
          <w:rFonts w:hint="cs"/>
          <w:rtl/>
          <w:lang w:eastAsia="he-IL"/>
        </w:rPr>
        <w:t xml:space="preserve"> במועד שנקבע לו מלכתחילה אפשר שהיו פני הדברים שונים, ומאחר שדחיית מועד הדיון לבקשתו של המנהל המיוחד, אף שבקשה מוצדקת </w:t>
      </w:r>
      <w:r w:rsidR="00DF79A2">
        <w:rPr>
          <w:rFonts w:hint="cs"/>
          <w:rtl/>
          <w:lang w:eastAsia="he-IL"/>
        </w:rPr>
        <w:lastRenderedPageBreak/>
        <w:t xml:space="preserve">הייתה בנסיבות העניין </w:t>
      </w:r>
      <w:r w:rsidR="00DF79A2">
        <w:rPr>
          <w:rtl/>
          <w:lang w:eastAsia="he-IL"/>
        </w:rPr>
        <w:t>–</w:t>
      </w:r>
      <w:r w:rsidR="00DF79A2">
        <w:rPr>
          <w:rFonts w:hint="cs"/>
          <w:rtl/>
          <w:lang w:eastAsia="he-IL"/>
        </w:rPr>
        <w:t xml:space="preserve"> לא ראוי שתאפשר לו למעשה לפעול בדרך שתאיין את הערעור. </w:t>
      </w:r>
      <w:r>
        <w:rPr>
          <w:rFonts w:hint="cs"/>
          <w:rtl/>
          <w:lang w:eastAsia="he-IL"/>
        </w:rPr>
        <w:t>ו'לא ראוי' זה האמור בכל בעל דין מתעצם כשמדובר בבעל דין האמור לפעול כשליח בית הדין.</w:t>
      </w:r>
    </w:p>
    <w:p w14:paraId="7A80DB02" w14:textId="77777777" w:rsidR="006C2406" w:rsidRDefault="006C2406" w:rsidP="00CE2B53">
      <w:pPr>
        <w:pStyle w:val="af0"/>
        <w:rPr>
          <w:rtl/>
          <w:lang w:eastAsia="he-IL"/>
        </w:rPr>
      </w:pPr>
      <w:r>
        <w:rPr>
          <w:rFonts w:hint="cs"/>
          <w:rtl/>
          <w:lang w:eastAsia="he-IL"/>
        </w:rPr>
        <w:t>אותו עיכוב שמשיקול זה נקבע לזמן קצוב כדי לאפשר את תגובת המנהל המיוחד שהתקבלה כאמור ושעל האמור בה עמדתי לעיל, ומטבע הדברים אף לאפשר בקשות ותגובות נוספות מצד יתר הנוגעים בדבר.</w:t>
      </w:r>
    </w:p>
    <w:p w14:paraId="104492A6" w14:textId="77777777" w:rsidR="006C2406" w:rsidRDefault="006C2406" w:rsidP="00CE2B53">
      <w:pPr>
        <w:pStyle w:val="af0"/>
        <w:rPr>
          <w:rtl/>
          <w:lang w:eastAsia="he-IL"/>
        </w:rPr>
      </w:pPr>
      <w:r>
        <w:rPr>
          <w:rFonts w:hint="cs"/>
          <w:rtl/>
          <w:lang w:eastAsia="he-IL"/>
        </w:rPr>
        <w:t xml:space="preserve">בינתיים וכפי שציינתי בהחלטה קודמת הצטרפה לעמדת המערער גם עמותת הוועד הכללי לעדת התימנים שלה אכן יש מעמד של ממש בהליך ושהצטרפותה עשויה להטות את הכף, בצירוף לאמור לעיל, לטובת עיכוב הביצוע. אלא שבאורח מתמיה </w:t>
      </w:r>
      <w:r>
        <w:rPr>
          <w:rtl/>
          <w:lang w:eastAsia="he-IL"/>
        </w:rPr>
        <w:t>–</w:t>
      </w:r>
      <w:r>
        <w:rPr>
          <w:rFonts w:hint="cs"/>
          <w:rtl/>
          <w:lang w:eastAsia="he-IL"/>
        </w:rPr>
        <w:t xml:space="preserve"> וגם על כך הערתי בהחלטה קודמת </w:t>
      </w:r>
      <w:r>
        <w:rPr>
          <w:rtl/>
          <w:lang w:eastAsia="he-IL"/>
        </w:rPr>
        <w:t>–</w:t>
      </w:r>
      <w:r>
        <w:rPr>
          <w:rFonts w:hint="cs"/>
          <w:rtl/>
          <w:lang w:eastAsia="he-IL"/>
        </w:rPr>
        <w:t xml:space="preserve"> מצאה העמותה לנכון להצטרף לבקשת עיכוב הביצוע אך לא הצטרפה לערעור עצמו.</w:t>
      </w:r>
    </w:p>
    <w:p w14:paraId="1EE42210" w14:textId="76343AC7" w:rsidR="006C2406" w:rsidRDefault="006C2406" w:rsidP="00CE2B53">
      <w:pPr>
        <w:pStyle w:val="af0"/>
        <w:rPr>
          <w:rtl/>
          <w:lang w:eastAsia="he-IL"/>
        </w:rPr>
      </w:pPr>
      <w:r>
        <w:rPr>
          <w:rFonts w:hint="cs"/>
          <w:rtl/>
          <w:lang w:eastAsia="he-IL"/>
        </w:rPr>
        <w:t>עתה, במסגרת צבר הבקשות והתגובות שלפניי יש, מלבד בקשת המנהל המיוחד ועמדת המפקחת על ההקדשות שמחד גיסא ומלבד בקשותיו החוזרות של המערער מאידך גיסא, גם בקשה של העמותה למתן הוראות</w:t>
      </w:r>
      <w:r w:rsidR="000403F0">
        <w:rPr>
          <w:rFonts w:hint="cs"/>
          <w:rtl/>
          <w:lang w:eastAsia="he-IL"/>
        </w:rPr>
        <w:t xml:space="preserve"> </w:t>
      </w:r>
      <w:r>
        <w:rPr>
          <w:rFonts w:hint="cs"/>
          <w:rtl/>
          <w:lang w:eastAsia="he-IL"/>
        </w:rPr>
        <w:t>בזיקה לשאלת המשכו או סיומו של עיכוב הביצוע, אך גם עתה ולמרות אותה הערה לא מצאה העמותה לנכון להצטרף לערעור עצמו.</w:t>
      </w:r>
    </w:p>
    <w:p w14:paraId="5A6B83F4" w14:textId="37CAB410" w:rsidR="00D91623" w:rsidRDefault="00D91623" w:rsidP="00CE2B53">
      <w:pPr>
        <w:pStyle w:val="af0"/>
        <w:rPr>
          <w:rtl/>
          <w:lang w:eastAsia="he-IL"/>
        </w:rPr>
      </w:pPr>
      <w:r>
        <w:rPr>
          <w:rFonts w:hint="cs"/>
          <w:rtl/>
          <w:lang w:eastAsia="he-IL"/>
        </w:rPr>
        <w:t>בנסיבות אלה ולאחר שקילת המכלול האמור אני קובע ומורה כי:</w:t>
      </w:r>
    </w:p>
    <w:p w14:paraId="077B9214" w14:textId="7106B919" w:rsidR="00D91623" w:rsidRPr="009F4EB1" w:rsidRDefault="009F7997" w:rsidP="00CE2B53">
      <w:pPr>
        <w:pStyle w:val="af0"/>
        <w:rPr>
          <w:sz w:val="28"/>
          <w:rtl/>
          <w:lang w:eastAsia="he-IL"/>
        </w:rPr>
      </w:pPr>
      <w:r>
        <w:rPr>
          <w:rFonts w:hint="cs"/>
          <w:rtl/>
          <w:lang w:eastAsia="he-IL"/>
        </w:rPr>
        <w:t xml:space="preserve"> </w:t>
      </w:r>
      <w:r w:rsidR="00D91623">
        <w:rPr>
          <w:rFonts w:hint="cs"/>
          <w:rtl/>
          <w:lang w:eastAsia="he-IL"/>
        </w:rPr>
        <w:t xml:space="preserve">עיכוב הביצוע שעליו הוריתי יימשך בשלב זה לעשרה ימים נוספים </w:t>
      </w:r>
      <w:r w:rsidR="00D91623" w:rsidRPr="009F7997">
        <w:rPr>
          <w:rFonts w:hint="cs"/>
          <w:szCs w:val="24"/>
          <w:rtl/>
          <w:lang w:eastAsia="he-IL"/>
        </w:rPr>
        <w:t xml:space="preserve">(לרבות ימי פגרה) </w:t>
      </w:r>
      <w:r w:rsidR="00D91623" w:rsidRPr="009F4EB1">
        <w:rPr>
          <w:rFonts w:hint="cs"/>
          <w:sz w:val="28"/>
          <w:rtl/>
          <w:lang w:eastAsia="he-IL"/>
        </w:rPr>
        <w:t>שבמהלכם תבהיר העמותה ותודיע אם היא מצטרפת לערעור עצמו</w:t>
      </w:r>
      <w:r w:rsidR="00D91623">
        <w:rPr>
          <w:rFonts w:hint="cs"/>
          <w:rtl/>
          <w:lang w:eastAsia="he-IL"/>
        </w:rPr>
        <w:t xml:space="preserve"> </w:t>
      </w:r>
      <w:r w:rsidR="00D91623" w:rsidRPr="009F7997">
        <w:rPr>
          <w:rFonts w:hint="cs"/>
          <w:szCs w:val="24"/>
          <w:rtl/>
          <w:lang w:eastAsia="he-IL"/>
        </w:rPr>
        <w:t xml:space="preserve">(וככל שאכן כן תשלים בתוך עשרה ימים לאחר מכן </w:t>
      </w:r>
      <w:r w:rsidR="00363B11" w:rsidRPr="009F7997">
        <w:rPr>
          <w:szCs w:val="24"/>
          <w:rtl/>
          <w:lang w:eastAsia="he-IL"/>
        </w:rPr>
        <w:t>–</w:t>
      </w:r>
      <w:r w:rsidR="00363B11" w:rsidRPr="009F7997">
        <w:rPr>
          <w:rFonts w:hint="cs"/>
          <w:szCs w:val="24"/>
          <w:rtl/>
          <w:lang w:eastAsia="he-IL"/>
        </w:rPr>
        <w:t xml:space="preserve"> גם אלה לרבות ימי פגרה מכל סוג שהוא </w:t>
      </w:r>
      <w:r w:rsidR="00363B11" w:rsidRPr="009F7997">
        <w:rPr>
          <w:szCs w:val="24"/>
          <w:rtl/>
          <w:lang w:eastAsia="he-IL"/>
        </w:rPr>
        <w:t>–</w:t>
      </w:r>
      <w:r w:rsidR="00363B11" w:rsidRPr="009F7997">
        <w:rPr>
          <w:rFonts w:hint="cs"/>
          <w:szCs w:val="24"/>
          <w:rtl/>
          <w:lang w:eastAsia="he-IL"/>
        </w:rPr>
        <w:t xml:space="preserve"> </w:t>
      </w:r>
      <w:r w:rsidR="00D91623" w:rsidRPr="009F7997">
        <w:rPr>
          <w:rFonts w:hint="cs"/>
          <w:szCs w:val="24"/>
          <w:rtl/>
          <w:lang w:eastAsia="he-IL"/>
        </w:rPr>
        <w:t xml:space="preserve">הגשת כתב ערעור מסודר) </w:t>
      </w:r>
      <w:r w:rsidR="00D91623" w:rsidRPr="009F4EB1">
        <w:rPr>
          <w:rFonts w:hint="cs"/>
          <w:sz w:val="28"/>
          <w:rtl/>
          <w:lang w:eastAsia="he-IL"/>
        </w:rPr>
        <w:t>אם לאו.</w:t>
      </w:r>
    </w:p>
    <w:p w14:paraId="370BE152" w14:textId="77777777" w:rsidR="00535D93" w:rsidRDefault="00D91623" w:rsidP="00CE2B53">
      <w:pPr>
        <w:pStyle w:val="af0"/>
        <w:rPr>
          <w:rtl/>
          <w:lang w:eastAsia="he-IL"/>
        </w:rPr>
      </w:pPr>
      <w:r>
        <w:rPr>
          <w:rFonts w:hint="cs"/>
          <w:rtl/>
          <w:lang w:eastAsia="he-IL"/>
        </w:rPr>
        <w:t xml:space="preserve">אם תצטרף העמותה לערעור יוארך צו עיכוב הביצוע עד לדיון שכן בהינתן שלערעור שותפים גם מי שמעמדם בהקדש ובהליך ברור ומבוסס יותר, שמכר הנכס הוא צעד בלתי הפיך או כמעט בלתי הפיך, ושהסיכון לחיי אדם כפשוטו אינו עשוי להיות מופחת מאישור המכר המיידי </w:t>
      </w:r>
      <w:r>
        <w:rPr>
          <w:rtl/>
          <w:lang w:eastAsia="he-IL"/>
        </w:rPr>
        <w:t>–</w:t>
      </w:r>
      <w:r>
        <w:rPr>
          <w:rFonts w:hint="cs"/>
          <w:rtl/>
          <w:lang w:eastAsia="he-IL"/>
        </w:rPr>
        <w:t xml:space="preserve"> הסיכון להקדש אינו כזה המצדיק מכירה מיידית למרות התנגדות זו וטרם דיון בערעור, וודאי לא שעה שהמכר אושר בעת היות הערעור כבר תלוי ועומד ולאחר שהדיון בו נדחה לבקשת המנהל המיוחד. </w:t>
      </w:r>
    </w:p>
    <w:p w14:paraId="033B4CCE" w14:textId="17D1207D" w:rsidR="00AC58A2" w:rsidRDefault="00535D93" w:rsidP="00535D93">
      <w:pPr>
        <w:pStyle w:val="af0"/>
        <w:rPr>
          <w:rtl/>
          <w:lang w:eastAsia="he-IL"/>
        </w:rPr>
      </w:pPr>
      <w:r>
        <w:rPr>
          <w:rFonts w:hint="cs"/>
          <w:rtl/>
          <w:lang w:eastAsia="he-IL"/>
        </w:rPr>
        <w:t>אם לא תצטרף העמותה לערעור</w:t>
      </w:r>
      <w:r w:rsidR="00363B11">
        <w:rPr>
          <w:rFonts w:hint="cs"/>
          <w:rtl/>
          <w:lang w:eastAsia="he-IL"/>
        </w:rPr>
        <w:t>, בתוך המועד שקבעתי,</w:t>
      </w:r>
      <w:r>
        <w:rPr>
          <w:rFonts w:hint="cs"/>
          <w:rtl/>
          <w:lang w:eastAsia="he-IL"/>
        </w:rPr>
        <w:t xml:space="preserve"> לא יוארך צו עיכוב הביצוע, שכן במקרה כזה של אי הצטרפות לאחר אמירות מפורשות של בית דיננו כאמור נוכל לראות את אי הצטרפותה לא רק כעמדה ניטרלית </w:t>
      </w:r>
      <w:r w:rsidRPr="009F7997">
        <w:rPr>
          <w:rFonts w:hint="cs"/>
          <w:szCs w:val="24"/>
          <w:rtl/>
          <w:lang w:eastAsia="he-IL"/>
        </w:rPr>
        <w:t xml:space="preserve">(שגם כשהיא העמדה קשה להמשיך את עיכוב הביצוע לבקשת מי שמעמדו מעורער ושעה שאכן יש חשש לנזק להקדש, גם אם אין החשש כמתואר בדברי המנהל המיוחד) </w:t>
      </w:r>
      <w:r w:rsidRPr="009F4EB1">
        <w:rPr>
          <w:rFonts w:hint="cs"/>
          <w:sz w:val="28"/>
          <w:rtl/>
          <w:lang w:eastAsia="he-IL"/>
        </w:rPr>
        <w:t>אלא כעמדה</w:t>
      </w:r>
      <w:r>
        <w:rPr>
          <w:rFonts w:hint="cs"/>
          <w:rtl/>
          <w:lang w:eastAsia="he-IL"/>
        </w:rPr>
        <w:t xml:space="preserve"> הגורסת הלכה למעשה שהחלטת בית הדין קמא בדבר המכירה צודקת היא ולפחות סבירה ולא ראוי לבטלה, ובמצב שבו הן העמותה שניהלה את ההקדש כנאמן בעבר </w:t>
      </w:r>
      <w:r w:rsidRPr="009F7997">
        <w:rPr>
          <w:rFonts w:hint="cs"/>
          <w:szCs w:val="24"/>
          <w:rtl/>
          <w:lang w:eastAsia="he-IL"/>
        </w:rPr>
        <w:t>(ולכאורה אמורה לשוב לניהולו לאחר תום מינוי המנהל המיוחד</w:t>
      </w:r>
      <w:r w:rsidR="00F2238F">
        <w:rPr>
          <w:rFonts w:hint="cs"/>
          <w:szCs w:val="24"/>
          <w:rtl/>
          <w:lang w:eastAsia="he-IL"/>
        </w:rPr>
        <w:t xml:space="preserve"> </w:t>
      </w:r>
      <w:r w:rsidR="00F2238F">
        <w:rPr>
          <w:szCs w:val="24"/>
          <w:rtl/>
          <w:lang w:eastAsia="he-IL"/>
        </w:rPr>
        <w:t>–</w:t>
      </w:r>
      <w:r w:rsidR="00F2238F">
        <w:rPr>
          <w:rFonts w:hint="cs"/>
          <w:szCs w:val="24"/>
          <w:rtl/>
          <w:lang w:eastAsia="he-IL"/>
        </w:rPr>
        <w:t xml:space="preserve"> ולענייננו איני נכנס לשאלה אם מונתה העמותה כעמותה או שיחידים מחבריה או מנהליה הם שמונו אישית ואם מונו לבדם או עם אחרים</w:t>
      </w:r>
      <w:r w:rsidR="009F4EB1">
        <w:rPr>
          <w:rFonts w:hint="cs"/>
          <w:szCs w:val="24"/>
          <w:rtl/>
          <w:lang w:eastAsia="he-IL"/>
        </w:rPr>
        <w:t>)</w:t>
      </w:r>
      <w:r w:rsidRPr="009F7997">
        <w:rPr>
          <w:rFonts w:hint="cs"/>
          <w:szCs w:val="24"/>
          <w:rtl/>
          <w:lang w:eastAsia="he-IL"/>
        </w:rPr>
        <w:t xml:space="preserve">, </w:t>
      </w:r>
      <w:r w:rsidRPr="009F4EB1">
        <w:rPr>
          <w:rFonts w:hint="cs"/>
          <w:sz w:val="28"/>
          <w:rtl/>
          <w:lang w:eastAsia="he-IL"/>
        </w:rPr>
        <w:t>הן המנהל</w:t>
      </w:r>
      <w:r>
        <w:rPr>
          <w:rFonts w:hint="cs"/>
          <w:rtl/>
          <w:lang w:eastAsia="he-IL"/>
        </w:rPr>
        <w:t xml:space="preserve"> המיוחד והן המפקחת על ההקדשות סבורים כולם כי ההחלטה בדבר המכירה צודקת או לפחות סבירה ויכולה לעמוד </w:t>
      </w:r>
      <w:r>
        <w:rPr>
          <w:rtl/>
          <w:lang w:eastAsia="he-IL"/>
        </w:rPr>
        <w:t>–</w:t>
      </w:r>
      <w:r>
        <w:rPr>
          <w:rFonts w:hint="cs"/>
          <w:rtl/>
          <w:lang w:eastAsia="he-IL"/>
        </w:rPr>
        <w:t xml:space="preserve"> אין מקום להמשיך ולעכב אותה לבקשת המערער, גם אם הוא מנהני ההקדש ומבקש להצטרף לחבר נאמניו.</w:t>
      </w:r>
      <w:r w:rsidR="00D91623">
        <w:rPr>
          <w:rFonts w:hint="cs"/>
          <w:rtl/>
          <w:lang w:eastAsia="he-IL"/>
        </w:rPr>
        <w:t xml:space="preserve"> </w:t>
      </w:r>
    </w:p>
    <w:p w14:paraId="2A7E5CFB" w14:textId="4D431443" w:rsidR="00535D93" w:rsidRDefault="00535D93" w:rsidP="00535D93">
      <w:pPr>
        <w:pStyle w:val="af0"/>
        <w:ind w:firstLine="0"/>
        <w:rPr>
          <w:rtl/>
          <w:lang w:eastAsia="he-IL"/>
        </w:rPr>
      </w:pPr>
      <w:r>
        <w:rPr>
          <w:rFonts w:hint="cs"/>
          <w:rtl/>
          <w:lang w:eastAsia="he-IL"/>
        </w:rPr>
        <w:t>ב.</w:t>
      </w:r>
      <w:r>
        <w:rPr>
          <w:rtl/>
          <w:lang w:eastAsia="he-IL"/>
        </w:rPr>
        <w:tab/>
      </w:r>
      <w:r>
        <w:rPr>
          <w:rFonts w:hint="cs"/>
          <w:rtl/>
          <w:lang w:eastAsia="he-IL"/>
        </w:rPr>
        <w:t xml:space="preserve">חלק אחר של צבר הבקשות שלפניי הוא </w:t>
      </w:r>
      <w:r w:rsidR="00953126">
        <w:rPr>
          <w:rFonts w:hint="cs"/>
          <w:rtl/>
          <w:lang w:eastAsia="he-IL"/>
        </w:rPr>
        <w:t xml:space="preserve">'ערעור' נוסף של המערער ובקשה נוספת לעיכוב ביצוע </w:t>
      </w:r>
      <w:r w:rsidR="00953126">
        <w:rPr>
          <w:rtl/>
          <w:lang w:eastAsia="he-IL"/>
        </w:rPr>
        <w:t>–</w:t>
      </w:r>
      <w:r w:rsidR="00953126">
        <w:rPr>
          <w:rFonts w:hint="cs"/>
          <w:rtl/>
          <w:lang w:eastAsia="he-IL"/>
        </w:rPr>
        <w:t xml:space="preserve"> הפעם בעניין שכר טרחתו של המנהל המיוחד.</w:t>
      </w:r>
    </w:p>
    <w:p w14:paraId="216D2A64" w14:textId="533C9581" w:rsidR="00953126" w:rsidRDefault="00953126" w:rsidP="00363B11">
      <w:pPr>
        <w:pStyle w:val="af0"/>
        <w:rPr>
          <w:rtl/>
          <w:lang w:eastAsia="he-IL"/>
        </w:rPr>
      </w:pPr>
      <w:r>
        <w:rPr>
          <w:rFonts w:hint="cs"/>
          <w:rtl/>
          <w:lang w:eastAsia="he-IL"/>
        </w:rPr>
        <w:t>דינם של אלה לדחייה על הסף.</w:t>
      </w:r>
    </w:p>
    <w:p w14:paraId="715BB84C" w14:textId="4CBFE0C0" w:rsidR="00363B11" w:rsidRDefault="00953126" w:rsidP="00363B11">
      <w:pPr>
        <w:pStyle w:val="af0"/>
        <w:rPr>
          <w:rtl/>
          <w:lang w:eastAsia="he-IL"/>
        </w:rPr>
      </w:pPr>
      <w:r>
        <w:rPr>
          <w:rFonts w:hint="cs"/>
          <w:rtl/>
          <w:lang w:eastAsia="he-IL"/>
        </w:rPr>
        <w:t xml:space="preserve">מעמדו של המערער אינו ברור וודאי אינו יציב, כאמור לעיל. בכל הנוגע להחלטות בלתי הפיכות הנוגעות לעצם המשך קיומו של נכס ההקדש בבעלות ההקדש וליכולת להנות ממנו, מצאתי לנכון כפי שנומק בהחלטות קודמות והוזכר גם לעיל בקצרה, לתת לו את זכות העמידה. אולם אין מקום לתת זכות עמידה לנהנה ההקדש או למי שמבקש להתמנות לנאמנו בכל החלטה אחרת הנוגעת להקדש, ודוק: אומנם כל החלטה הנוגעת לנכסי ההקדש עשויה להשפיע על מסת הנכסים ועל היקף </w:t>
      </w:r>
      <w:r>
        <w:rPr>
          <w:rFonts w:hint="cs"/>
          <w:rtl/>
          <w:lang w:eastAsia="he-IL"/>
        </w:rPr>
        <w:lastRenderedPageBreak/>
        <w:t xml:space="preserve">הפירות וממילא להשליך על מידת הנאתם של נהני ההקדש, וכך כמובן בהחלטה המורה על תשלום שכר טרחה נכבד, אולם בסופו של יום נהני ההקדש אינם בעליו ולא מי שמונו לנהלו. </w:t>
      </w:r>
    </w:p>
    <w:p w14:paraId="56405ED6" w14:textId="781DF459" w:rsidR="00953126" w:rsidRDefault="00953126" w:rsidP="00363B11">
      <w:pPr>
        <w:pStyle w:val="af0"/>
        <w:rPr>
          <w:rtl/>
          <w:lang w:eastAsia="he-IL"/>
        </w:rPr>
      </w:pPr>
      <w:r>
        <w:rPr>
          <w:rFonts w:hint="cs"/>
          <w:rtl/>
          <w:lang w:eastAsia="he-IL"/>
        </w:rPr>
        <w:t xml:space="preserve">ניהולו של הקדש אינו נעשה בידי נהניו הן משום שלא המקדישים, לא ההלכה, לא החוק ולא </w:t>
      </w:r>
      <w:r w:rsidR="009F7997">
        <w:rPr>
          <w:rFonts w:hint="cs"/>
          <w:rtl/>
          <w:lang w:eastAsia="he-IL"/>
        </w:rPr>
        <w:t>בית הדין</w:t>
      </w:r>
      <w:r>
        <w:rPr>
          <w:rFonts w:hint="cs"/>
          <w:rtl/>
          <w:lang w:eastAsia="he-IL"/>
        </w:rPr>
        <w:t xml:space="preserve"> קבעו כי הללו ינהלו את ההקדש והן משום שמתן הניהול בידי הנהנים</w:t>
      </w:r>
      <w:r w:rsidR="00363B11">
        <w:rPr>
          <w:rFonts w:hint="cs"/>
          <w:rtl/>
          <w:lang w:eastAsia="he-IL"/>
        </w:rPr>
        <w:t>, העשויים להיות רבים</w:t>
      </w:r>
      <w:r>
        <w:rPr>
          <w:rFonts w:hint="cs"/>
          <w:rtl/>
          <w:lang w:eastAsia="he-IL"/>
        </w:rPr>
        <w:t xml:space="preserve"> </w:t>
      </w:r>
      <w:r w:rsidRPr="009F7997">
        <w:rPr>
          <w:rFonts w:hint="cs"/>
          <w:szCs w:val="24"/>
          <w:rtl/>
          <w:lang w:eastAsia="he-IL"/>
        </w:rPr>
        <w:t>(ואומנם לטעמו של המערער המוסד שבניהולו אמ</w:t>
      </w:r>
      <w:r w:rsidR="00363B11" w:rsidRPr="009F7997">
        <w:rPr>
          <w:rFonts w:hint="cs"/>
          <w:szCs w:val="24"/>
          <w:rtl/>
          <w:lang w:eastAsia="he-IL"/>
        </w:rPr>
        <w:t>ו</w:t>
      </w:r>
      <w:r w:rsidRPr="009F7997">
        <w:rPr>
          <w:rFonts w:hint="cs"/>
          <w:szCs w:val="24"/>
          <w:rtl/>
          <w:lang w:eastAsia="he-IL"/>
        </w:rPr>
        <w:t>ר להיות הנהנה היחיד אולם אין זאת אומ</w:t>
      </w:r>
      <w:r w:rsidR="00363B11" w:rsidRPr="009F7997">
        <w:rPr>
          <w:rFonts w:hint="cs"/>
          <w:szCs w:val="24"/>
          <w:rtl/>
          <w:lang w:eastAsia="he-IL"/>
        </w:rPr>
        <w:t>ר</w:t>
      </w:r>
      <w:r w:rsidRPr="009F7997">
        <w:rPr>
          <w:rFonts w:hint="cs"/>
          <w:szCs w:val="24"/>
          <w:rtl/>
          <w:lang w:eastAsia="he-IL"/>
        </w:rPr>
        <w:t>ת שעמדתו תתקבל בהכרח וגם אם נ</w:t>
      </w:r>
      <w:r w:rsidR="000403F0">
        <w:rPr>
          <w:rFonts w:hint="cs"/>
          <w:szCs w:val="24"/>
          <w:rtl/>
          <w:lang w:eastAsia="he-IL"/>
        </w:rPr>
        <w:t>נ</w:t>
      </w:r>
      <w:r w:rsidRPr="009F7997">
        <w:rPr>
          <w:rFonts w:hint="cs"/>
          <w:szCs w:val="24"/>
          <w:rtl/>
          <w:lang w:eastAsia="he-IL"/>
        </w:rPr>
        <w:t>יח שבזמן מסוים כך יהיה אין זאת אומרת כי כך יהיה לעד)</w:t>
      </w:r>
      <w:r w:rsidR="00363B11" w:rsidRPr="009F7997">
        <w:rPr>
          <w:rFonts w:hint="cs"/>
          <w:szCs w:val="24"/>
          <w:rtl/>
          <w:lang w:eastAsia="he-IL"/>
        </w:rPr>
        <w:t xml:space="preserve"> </w:t>
      </w:r>
      <w:r w:rsidR="00363B11" w:rsidRPr="009F4EB1">
        <w:rPr>
          <w:rFonts w:hint="cs"/>
          <w:sz w:val="28"/>
          <w:rtl/>
          <w:lang w:eastAsia="he-IL"/>
        </w:rPr>
        <w:t>יביא לחיסולו</w:t>
      </w:r>
      <w:r w:rsidR="00363B11">
        <w:rPr>
          <w:rFonts w:hint="cs"/>
          <w:rtl/>
          <w:lang w:eastAsia="he-IL"/>
        </w:rPr>
        <w:t xml:space="preserve"> של ההקדש </w:t>
      </w:r>
      <w:r w:rsidR="00363B11">
        <w:rPr>
          <w:rtl/>
          <w:lang w:eastAsia="he-IL"/>
        </w:rPr>
        <w:t>–</w:t>
      </w:r>
      <w:r w:rsidR="00363B11">
        <w:rPr>
          <w:rFonts w:hint="cs"/>
          <w:rtl/>
          <w:lang w:eastAsia="he-IL"/>
        </w:rPr>
        <w:t xml:space="preserve"> כל הקדש </w:t>
      </w:r>
      <w:r w:rsidR="00363B11">
        <w:rPr>
          <w:rtl/>
          <w:lang w:eastAsia="he-IL"/>
        </w:rPr>
        <w:t>–</w:t>
      </w:r>
      <w:r w:rsidR="00363B11">
        <w:rPr>
          <w:rFonts w:hint="cs"/>
          <w:rtl/>
          <w:lang w:eastAsia="he-IL"/>
        </w:rPr>
        <w:t xml:space="preserve"> במהרה, קרוב לוודאי, ולנזק גדול עשרת מונים אף לנהנים עצמם, וראוי להזכיר בהקשר זה את דברי אליהו הנביא לריב"ל על 'עיר שכולה ראשים'</w:t>
      </w:r>
      <w:r w:rsidR="00037EDE">
        <w:rPr>
          <w:rFonts w:hint="cs"/>
          <w:rtl/>
          <w:lang w:eastAsia="he-IL"/>
        </w:rPr>
        <w:t xml:space="preserve"> </w:t>
      </w:r>
      <w:r w:rsidR="00037EDE" w:rsidRPr="00B76A12">
        <w:rPr>
          <w:rFonts w:hint="cs"/>
          <w:sz w:val="24"/>
          <w:szCs w:val="24"/>
          <w:rtl/>
          <w:lang w:eastAsia="he-IL"/>
        </w:rPr>
        <w:t xml:space="preserve">(עיין </w:t>
      </w:r>
      <w:r w:rsidR="00037EDE" w:rsidRPr="00B76A12">
        <w:rPr>
          <w:sz w:val="24"/>
          <w:szCs w:val="24"/>
          <w:rtl/>
          <w:lang w:eastAsia="he-IL"/>
        </w:rPr>
        <w:t>סדר הדורות, ערך רבי יהושע בן לוי, סימן ד</w:t>
      </w:r>
      <w:r w:rsidR="00037EDE" w:rsidRPr="00B76A12">
        <w:rPr>
          <w:rFonts w:hint="cs"/>
          <w:sz w:val="24"/>
          <w:szCs w:val="24"/>
          <w:rtl/>
          <w:lang w:eastAsia="he-IL"/>
        </w:rPr>
        <w:t xml:space="preserve">, ועיין גם </w:t>
      </w:r>
      <w:r w:rsidR="00037EDE" w:rsidRPr="00B76A12">
        <w:rPr>
          <w:sz w:val="24"/>
          <w:szCs w:val="24"/>
          <w:rtl/>
          <w:lang w:eastAsia="he-IL"/>
        </w:rPr>
        <w:t>ילקוט שמעוני משלי רמז תתקסא: "'בפשע ארץ רבים שריה'</w:t>
      </w:r>
      <w:r w:rsidR="00037EDE" w:rsidRPr="00B76A12">
        <w:rPr>
          <w:rFonts w:hint="cs"/>
          <w:sz w:val="24"/>
          <w:szCs w:val="24"/>
          <w:rtl/>
          <w:lang w:eastAsia="he-IL"/>
        </w:rPr>
        <w:t xml:space="preserve"> </w:t>
      </w:r>
      <w:r w:rsidR="00037EDE" w:rsidRPr="00B76A12">
        <w:rPr>
          <w:sz w:val="24"/>
          <w:szCs w:val="24"/>
          <w:rtl/>
          <w:lang w:eastAsia="he-IL"/>
        </w:rPr>
        <w:t>– בעוון הדור הכל נעשו שרים</w:t>
      </w:r>
      <w:r w:rsidR="00037EDE" w:rsidRPr="00B76A12">
        <w:rPr>
          <w:rFonts w:hint="cs"/>
          <w:sz w:val="24"/>
          <w:szCs w:val="24"/>
          <w:rtl/>
          <w:lang w:eastAsia="he-IL"/>
        </w:rPr>
        <w:t>")</w:t>
      </w:r>
      <w:r w:rsidR="00363B11">
        <w:rPr>
          <w:rFonts w:hint="cs"/>
          <w:rtl/>
          <w:lang w:eastAsia="he-IL"/>
        </w:rPr>
        <w:t>.</w:t>
      </w:r>
      <w:r w:rsidR="009F7997">
        <w:rPr>
          <w:rFonts w:hint="cs"/>
          <w:rtl/>
          <w:lang w:eastAsia="he-IL"/>
        </w:rPr>
        <w:t xml:space="preserve"> </w:t>
      </w:r>
    </w:p>
    <w:p w14:paraId="74C608A1" w14:textId="438B86D5" w:rsidR="00363B11" w:rsidRDefault="00363B11" w:rsidP="00363B11">
      <w:pPr>
        <w:pStyle w:val="af0"/>
        <w:rPr>
          <w:rtl/>
          <w:lang w:eastAsia="he-IL"/>
        </w:rPr>
      </w:pPr>
      <w:r>
        <w:rPr>
          <w:rFonts w:hint="cs"/>
          <w:rtl/>
          <w:lang w:eastAsia="he-IL"/>
        </w:rPr>
        <w:t xml:space="preserve">בין שטענותיו של המערער לעניין שכר הטרחה טענות סרק הן ובין שיש בהן ממש </w:t>
      </w:r>
      <w:r>
        <w:rPr>
          <w:rtl/>
          <w:lang w:eastAsia="he-IL"/>
        </w:rPr>
        <w:t>–</w:t>
      </w:r>
      <w:r>
        <w:rPr>
          <w:rFonts w:hint="cs"/>
          <w:rtl/>
          <w:lang w:eastAsia="he-IL"/>
        </w:rPr>
        <w:t xml:space="preserve"> אין הוא בעל דין להעלותן. לו רצו נאמני ההקדש </w:t>
      </w:r>
      <w:r w:rsidRPr="009F7997">
        <w:rPr>
          <w:rFonts w:hint="cs"/>
          <w:szCs w:val="24"/>
          <w:rtl/>
          <w:lang w:eastAsia="he-IL"/>
        </w:rPr>
        <w:t xml:space="preserve">(העמותה) </w:t>
      </w:r>
      <w:r w:rsidRPr="009F4EB1">
        <w:rPr>
          <w:rFonts w:hint="cs"/>
          <w:sz w:val="28"/>
          <w:rtl/>
          <w:lang w:eastAsia="he-IL"/>
        </w:rPr>
        <w:t>לטעון כיוצא</w:t>
      </w:r>
      <w:r>
        <w:rPr>
          <w:rFonts w:hint="cs"/>
          <w:rtl/>
          <w:lang w:eastAsia="he-IL"/>
        </w:rPr>
        <w:t xml:space="preserve"> בהן </w:t>
      </w:r>
      <w:r>
        <w:rPr>
          <w:rtl/>
          <w:lang w:eastAsia="he-IL"/>
        </w:rPr>
        <w:t>–</w:t>
      </w:r>
      <w:r>
        <w:rPr>
          <w:rFonts w:hint="cs"/>
          <w:rtl/>
          <w:lang w:eastAsia="he-IL"/>
        </w:rPr>
        <w:t xml:space="preserve"> היה עליהם להגיש ערעור בעניין, הללו לא עשו כן, ואין מקום ליתן למערער 'זכות וטו' על כל החלטה בעניינו של ההקדש.</w:t>
      </w:r>
    </w:p>
    <w:p w14:paraId="5AC0711E" w14:textId="3DA194CF" w:rsidR="009F7997" w:rsidRPr="00CE2B53" w:rsidRDefault="009F7997" w:rsidP="00182CD5">
      <w:pPr>
        <w:pStyle w:val="af0"/>
        <w:ind w:firstLine="0"/>
        <w:rPr>
          <w:rtl/>
          <w:lang w:eastAsia="he-IL"/>
        </w:rPr>
      </w:pPr>
      <w:r>
        <w:rPr>
          <w:rFonts w:hint="cs"/>
          <w:rtl/>
          <w:lang w:eastAsia="he-IL"/>
        </w:rPr>
        <w:t>ג.</w:t>
      </w:r>
      <w:r>
        <w:rPr>
          <w:rtl/>
          <w:lang w:eastAsia="he-IL"/>
        </w:rPr>
        <w:tab/>
      </w:r>
      <w:r>
        <w:rPr>
          <w:rFonts w:hint="cs"/>
          <w:rtl/>
          <w:lang w:eastAsia="he-IL"/>
        </w:rPr>
        <w:t>החלטתי מותרת בפרסום.</w:t>
      </w:r>
    </w:p>
    <w:p w14:paraId="266CF14D" w14:textId="3A385E79" w:rsidR="00D7193C" w:rsidRPr="00D7193C" w:rsidRDefault="000403F0" w:rsidP="0099728E">
      <w:pPr>
        <w:pStyle w:val="af0"/>
        <w:ind w:firstLine="0"/>
        <w:jc w:val="left"/>
        <w:rPr>
          <w:rtl/>
          <w:lang w:eastAsia="he-IL"/>
        </w:rPr>
      </w:pPr>
      <w:sdt>
        <w:sdtPr>
          <w:rPr>
            <w:rFonts w:hint="cs"/>
            <w:rtl/>
          </w:rPr>
          <w:alias w:val="FamilyTreeRelation"/>
          <w:tag w:val="FamilyTreeRelation"/>
          <w:id w:val="1274903406"/>
          <w:placeholder>
            <w:docPart w:val="6A736310EDD7424FBD5A68653055D5BA"/>
          </w:placeholder>
          <w:text w:multiLine="1"/>
        </w:sdtPr>
        <w:sdtEndPr/>
        <w:sdtContent>
          <w:r w:rsidR="00D7193C" w:rsidRPr="00D7193C">
            <w:rPr>
              <w:rFonts w:hint="cs"/>
              <w:rtl/>
            </w:rPr>
            <w:t xml:space="preserve"> </w:t>
          </w:r>
        </w:sdtContent>
      </w:sdt>
    </w:p>
    <w:p w14:paraId="2A404CD6" w14:textId="77777777" w:rsidR="001E0429" w:rsidRPr="00CD4289" w:rsidRDefault="000403F0"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0AA97D8D"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0403F0">
            <w:rPr>
              <w:sz w:val="28"/>
              <w:rtl/>
            </w:rPr>
            <w:t>א' באלול התשפ"ב</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0403F0">
            <w:rPr>
              <w:sz w:val="28"/>
              <w:rtl/>
            </w:rPr>
            <w:t>28/08/2022</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0403F0">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527BA9D5" w:rsidR="00371B63" w:rsidRPr="0061526B" w:rsidRDefault="000403F0" w:rsidP="00467219">
                <w:pPr>
                  <w:spacing w:after="0" w:line="240" w:lineRule="auto"/>
                  <w:ind w:right="-459"/>
                  <w:jc w:val="center"/>
                  <w:rPr>
                    <w:rFonts w:cs="David"/>
                    <w:sz w:val="40"/>
                    <w:szCs w:val="24"/>
                    <w:rtl/>
                  </w:rPr>
                </w:pPr>
                <w:r>
                  <w:rPr>
                    <w:rFonts w:hint="cs"/>
                    <w:noProof/>
                    <w:sz w:val="40"/>
                    <w:rtl/>
                    <w:lang w:val="he-IL"/>
                  </w:rPr>
                  <w:drawing>
                    <wp:inline distT="0" distB="0" distL="0" distR="0" wp14:anchorId="6D2F3322" wp14:editId="1D8590C2">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tr>
      <w:tr w:rsidR="00371B63" w:rsidRPr="0061526B" w14:paraId="2A404CE0" w14:textId="77777777" w:rsidTr="000403F0">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שלמה שפירא</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tr>
    </w:tbl>
    <w:p w14:paraId="57F39141" w14:textId="36184162" w:rsidR="001B1712" w:rsidRPr="00A86E38" w:rsidRDefault="000403F0"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0403F0"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0403F0"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בנימין שונם</w:t>
          </w:r>
        </w:sdtContent>
      </w:sdt>
      <w:r w:rsidR="00126104" w:rsidRPr="0045717F">
        <w:rPr>
          <w:rFonts w:hint="cs"/>
          <w:sz w:val="24"/>
          <w:szCs w:val="24"/>
          <w:rtl/>
        </w:rPr>
        <w:t>, המזכיר הראשי</w:t>
      </w:r>
    </w:p>
    <w:p w14:paraId="2A404CED" w14:textId="429532CC" w:rsidR="0011158D" w:rsidRPr="0045717F" w:rsidRDefault="000403F0"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שלמה שפירא בתאריך 28/08/2022 22:21</w:t>
          </w:r>
        </w:sdtContent>
      </w:sdt>
    </w:p>
    <w:sectPr w:rsidR="0011158D" w:rsidRPr="0045717F" w:rsidSect="003B28C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FD01" w14:textId="77777777" w:rsidR="00517D56" w:rsidRDefault="00517D56" w:rsidP="00F558B1">
      <w:pPr>
        <w:spacing w:after="0" w:line="240" w:lineRule="auto"/>
      </w:pPr>
      <w:r>
        <w:separator/>
      </w:r>
    </w:p>
  </w:endnote>
  <w:endnote w:type="continuationSeparator" w:id="0">
    <w:p w14:paraId="4AE48E3C" w14:textId="77777777" w:rsidR="00517D56" w:rsidRDefault="00517D5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FAC" w14:textId="77777777" w:rsidR="00F7717C" w:rsidRDefault="00F771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
      <w:gridCol w:w="3786"/>
      <w:gridCol w:w="2795"/>
      <w:gridCol w:w="53"/>
      <w:gridCol w:w="2118"/>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15</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63B67B3"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-1353981/4</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הגדול 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02-6240936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ED7" w14:textId="77777777" w:rsidR="00F7717C" w:rsidRDefault="00F77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004E" w14:textId="77777777" w:rsidR="00517D56" w:rsidRDefault="00517D56" w:rsidP="00F558B1">
      <w:pPr>
        <w:spacing w:after="0" w:line="240" w:lineRule="auto"/>
      </w:pPr>
      <w:r>
        <w:separator/>
      </w:r>
    </w:p>
  </w:footnote>
  <w:footnote w:type="continuationSeparator" w:id="0">
    <w:p w14:paraId="5EB4EAEC" w14:textId="77777777" w:rsidR="00517D56" w:rsidRDefault="00517D5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327" w14:textId="77777777" w:rsidR="00F7717C" w:rsidRDefault="00F771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97D" w14:textId="77777777" w:rsidR="00F7717C" w:rsidRDefault="00F771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119149561">
    <w:abstractNumId w:val="2"/>
  </w:num>
  <w:num w:numId="2" w16cid:durableId="829566756">
    <w:abstractNumId w:val="1"/>
  </w:num>
  <w:num w:numId="3" w16cid:durableId="665943408">
    <w:abstractNumId w:val="3"/>
  </w:num>
  <w:num w:numId="4" w16cid:durableId="65911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37EDE"/>
    <w:rsid w:val="000403F0"/>
    <w:rsid w:val="0007574F"/>
    <w:rsid w:val="00076847"/>
    <w:rsid w:val="000936C6"/>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420"/>
    <w:rsid w:val="0014090D"/>
    <w:rsid w:val="00142351"/>
    <w:rsid w:val="00142E3C"/>
    <w:rsid w:val="00143EF8"/>
    <w:rsid w:val="0015314D"/>
    <w:rsid w:val="001625E5"/>
    <w:rsid w:val="00167042"/>
    <w:rsid w:val="00175E52"/>
    <w:rsid w:val="00182CD5"/>
    <w:rsid w:val="001965F3"/>
    <w:rsid w:val="00196957"/>
    <w:rsid w:val="00197710"/>
    <w:rsid w:val="001B1712"/>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63B11"/>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41252"/>
    <w:rsid w:val="0044547E"/>
    <w:rsid w:val="004511B4"/>
    <w:rsid w:val="00452254"/>
    <w:rsid w:val="00452F3C"/>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111B2"/>
    <w:rsid w:val="005128AD"/>
    <w:rsid w:val="005131DB"/>
    <w:rsid w:val="00514A20"/>
    <w:rsid w:val="00516530"/>
    <w:rsid w:val="00517642"/>
    <w:rsid w:val="00517D56"/>
    <w:rsid w:val="00523FE4"/>
    <w:rsid w:val="005278FA"/>
    <w:rsid w:val="00531AF6"/>
    <w:rsid w:val="00532BEA"/>
    <w:rsid w:val="00532F00"/>
    <w:rsid w:val="00535D93"/>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5F7B1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406"/>
    <w:rsid w:val="006C2832"/>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8C9"/>
    <w:rsid w:val="008301B2"/>
    <w:rsid w:val="0083167A"/>
    <w:rsid w:val="00861CE6"/>
    <w:rsid w:val="00865522"/>
    <w:rsid w:val="00872B36"/>
    <w:rsid w:val="00874939"/>
    <w:rsid w:val="008833FE"/>
    <w:rsid w:val="00883ECA"/>
    <w:rsid w:val="00885F86"/>
    <w:rsid w:val="00892838"/>
    <w:rsid w:val="008941C6"/>
    <w:rsid w:val="00896FB7"/>
    <w:rsid w:val="008B1A8D"/>
    <w:rsid w:val="008B22C0"/>
    <w:rsid w:val="008B3465"/>
    <w:rsid w:val="008B721E"/>
    <w:rsid w:val="008B72BE"/>
    <w:rsid w:val="008C361A"/>
    <w:rsid w:val="008C4363"/>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53126"/>
    <w:rsid w:val="00970AFD"/>
    <w:rsid w:val="00971B61"/>
    <w:rsid w:val="00975CC0"/>
    <w:rsid w:val="00984EE1"/>
    <w:rsid w:val="0099728E"/>
    <w:rsid w:val="009C26D8"/>
    <w:rsid w:val="009C6907"/>
    <w:rsid w:val="009E47EA"/>
    <w:rsid w:val="009E5506"/>
    <w:rsid w:val="009E65C3"/>
    <w:rsid w:val="009F4EB1"/>
    <w:rsid w:val="009F7997"/>
    <w:rsid w:val="00A041AE"/>
    <w:rsid w:val="00A052AF"/>
    <w:rsid w:val="00A06D49"/>
    <w:rsid w:val="00A12E75"/>
    <w:rsid w:val="00A2401C"/>
    <w:rsid w:val="00A250AD"/>
    <w:rsid w:val="00A346CE"/>
    <w:rsid w:val="00A36621"/>
    <w:rsid w:val="00A555E9"/>
    <w:rsid w:val="00A57469"/>
    <w:rsid w:val="00A62E5C"/>
    <w:rsid w:val="00A82275"/>
    <w:rsid w:val="00A86E38"/>
    <w:rsid w:val="00A9597A"/>
    <w:rsid w:val="00AA4585"/>
    <w:rsid w:val="00AB216C"/>
    <w:rsid w:val="00AB5BB4"/>
    <w:rsid w:val="00AC44B5"/>
    <w:rsid w:val="00AC4D8D"/>
    <w:rsid w:val="00AC58A2"/>
    <w:rsid w:val="00AC68F3"/>
    <w:rsid w:val="00AC7403"/>
    <w:rsid w:val="00AE0E93"/>
    <w:rsid w:val="00AE42ED"/>
    <w:rsid w:val="00B13505"/>
    <w:rsid w:val="00B2015D"/>
    <w:rsid w:val="00B556F3"/>
    <w:rsid w:val="00B6184E"/>
    <w:rsid w:val="00B624D3"/>
    <w:rsid w:val="00B62D80"/>
    <w:rsid w:val="00B66681"/>
    <w:rsid w:val="00B742F7"/>
    <w:rsid w:val="00B76A12"/>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366F6"/>
    <w:rsid w:val="00C45592"/>
    <w:rsid w:val="00C45C16"/>
    <w:rsid w:val="00C72763"/>
    <w:rsid w:val="00C72EAD"/>
    <w:rsid w:val="00C776CA"/>
    <w:rsid w:val="00C92C61"/>
    <w:rsid w:val="00C95729"/>
    <w:rsid w:val="00CD03A8"/>
    <w:rsid w:val="00CD4289"/>
    <w:rsid w:val="00CE2B53"/>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1623"/>
    <w:rsid w:val="00D92CDB"/>
    <w:rsid w:val="00DB3831"/>
    <w:rsid w:val="00DE2DD7"/>
    <w:rsid w:val="00DE4A0A"/>
    <w:rsid w:val="00DE5A0A"/>
    <w:rsid w:val="00DE7884"/>
    <w:rsid w:val="00DF318E"/>
    <w:rsid w:val="00DF5C53"/>
    <w:rsid w:val="00DF7153"/>
    <w:rsid w:val="00DF79A2"/>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40E9"/>
    <w:rsid w:val="00ED720F"/>
    <w:rsid w:val="00EE01C6"/>
    <w:rsid w:val="00EE27E0"/>
    <w:rsid w:val="00EE6968"/>
    <w:rsid w:val="00EE6B38"/>
    <w:rsid w:val="00EE72CF"/>
    <w:rsid w:val="00EF0A64"/>
    <w:rsid w:val="00F07C76"/>
    <w:rsid w:val="00F2006B"/>
    <w:rsid w:val="00F2238F"/>
    <w:rsid w:val="00F3066C"/>
    <w:rsid w:val="00F423D1"/>
    <w:rsid w:val="00F43F82"/>
    <w:rsid w:val="00F558B1"/>
    <w:rsid w:val="00F56382"/>
    <w:rsid w:val="00F57308"/>
    <w:rsid w:val="00F7717C"/>
    <w:rsid w:val="00FA3BBC"/>
    <w:rsid w:val="00FA5C0F"/>
    <w:rsid w:val="00FA66BA"/>
    <w:rsid w:val="00FB2CA6"/>
    <w:rsid w:val="00FB65E9"/>
    <w:rsid w:val="00FB72B1"/>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
      <w:docPartPr>
        <w:name w:val="6A736310EDD7424FBD5A68653055D5BA"/>
        <w:category>
          <w:name w:val="General"/>
          <w:gallery w:val="placeholder"/>
        </w:category>
        <w:types>
          <w:type w:val="bbPlcHdr"/>
        </w:types>
        <w:behaviors>
          <w:behavior w:val="content"/>
        </w:behaviors>
        <w:guid w:val="{61146133-99A3-4577-A5F3-43A365D8A134}"/>
      </w:docPartPr>
      <w:docPartBody>
        <w:p w:rsidR="00B07294" w:rsidRDefault="00F60A57" w:rsidP="00F60A57">
          <w:pPr>
            <w:pStyle w:val="6A736310EDD7424FBD5A68653055D5BA"/>
          </w:pPr>
          <w:r w:rsidRPr="00424C58">
            <w:rPr>
              <w:rStyle w:val="a3"/>
            </w:rPr>
            <w:t>Click here to enter text.</w:t>
          </w:r>
        </w:p>
      </w:docPartBody>
    </w:docPart>
    <w:docPart>
      <w:docPartPr>
        <w:name w:val="88BE3BA8B1DB48CAA6DDEE63E58F7505"/>
        <w:category>
          <w:name w:val="כללי"/>
          <w:gallery w:val="placeholder"/>
        </w:category>
        <w:types>
          <w:type w:val="bbPlcHdr"/>
        </w:types>
        <w:behaviors>
          <w:behavior w:val="content"/>
        </w:behaviors>
        <w:guid w:val="{9D5CF2F5-B188-465C-B692-9DF3425CEE06}"/>
      </w:docPartPr>
      <w:docPartBody>
        <w:p w:rsidR="00AB23C4" w:rsidRDefault="00536945" w:rsidP="00536945">
          <w:pPr>
            <w:pStyle w:val="88BE3BA8B1DB48CAA6DDEE63E58F7505"/>
          </w:pPr>
          <w:r>
            <w:rPr>
              <w:rStyle w:val="a3"/>
            </w:rPr>
            <w:t>Click here to enter text.</w:t>
          </w:r>
        </w:p>
      </w:docPartBody>
    </w:docPart>
    <w:docPart>
      <w:docPartPr>
        <w:name w:val="F8467485D338496D87EC5C130E34D74D"/>
        <w:category>
          <w:name w:val="כללי"/>
          <w:gallery w:val="placeholder"/>
        </w:category>
        <w:types>
          <w:type w:val="bbPlcHdr"/>
        </w:types>
        <w:behaviors>
          <w:behavior w:val="content"/>
        </w:behaviors>
        <w:guid w:val="{3A6D5A15-DC4B-4EE4-B474-EA8FBB8D726F}"/>
      </w:docPartPr>
      <w:docPartBody>
        <w:p w:rsidR="00AB23C4" w:rsidRDefault="00536945" w:rsidP="00536945">
          <w:pPr>
            <w:pStyle w:val="F8467485D338496D87EC5C130E34D74D"/>
          </w:pPr>
          <w:r>
            <w:rPr>
              <w:rStyle w:val="a3"/>
            </w:rPr>
            <w:t>Click here to enter text.</w:t>
          </w:r>
        </w:p>
      </w:docPartBody>
    </w:docPart>
    <w:docPart>
      <w:docPartPr>
        <w:name w:val="5ADEE0D02219426CAFE8E688CD226A0D"/>
        <w:category>
          <w:name w:val="כללי"/>
          <w:gallery w:val="placeholder"/>
        </w:category>
        <w:types>
          <w:type w:val="bbPlcHdr"/>
        </w:types>
        <w:behaviors>
          <w:behavior w:val="content"/>
        </w:behaviors>
        <w:guid w:val="{A4FD1E26-3757-469E-BE85-95FB642FA37A}"/>
      </w:docPartPr>
      <w:docPartBody>
        <w:p w:rsidR="00AB23C4" w:rsidRDefault="00536945" w:rsidP="00536945">
          <w:pPr>
            <w:pStyle w:val="5ADEE0D02219426CAFE8E688CD226A0D"/>
          </w:pPr>
          <w:r>
            <w:rPr>
              <w:rStyle w:val="a3"/>
            </w:rPr>
            <w:t>Click here to enter text.</w:t>
          </w:r>
        </w:p>
      </w:docPartBody>
    </w:docPart>
    <w:docPart>
      <w:docPartPr>
        <w:name w:val="2E525B025D4244189B71397E40EFA143"/>
        <w:category>
          <w:name w:val="כללי"/>
          <w:gallery w:val="placeholder"/>
        </w:category>
        <w:types>
          <w:type w:val="bbPlcHdr"/>
        </w:types>
        <w:behaviors>
          <w:behavior w:val="content"/>
        </w:behaviors>
        <w:guid w:val="{515F4364-B579-43AF-A03B-9A994AD33DA1}"/>
      </w:docPartPr>
      <w:docPartBody>
        <w:p w:rsidR="00AB23C4" w:rsidRDefault="00536945" w:rsidP="00536945">
          <w:pPr>
            <w:pStyle w:val="2E525B025D4244189B71397E40EFA143"/>
          </w:pPr>
          <w:r>
            <w:rPr>
              <w:rStyle w:val="a3"/>
            </w:rPr>
            <w:t>Click here to enter text.</w:t>
          </w:r>
        </w:p>
      </w:docPartBody>
    </w:docPart>
    <w:docPart>
      <w:docPartPr>
        <w:name w:val="47602D4B5C8540FD8C74CD0ED3A32855"/>
        <w:category>
          <w:name w:val="כללי"/>
          <w:gallery w:val="placeholder"/>
        </w:category>
        <w:types>
          <w:type w:val="bbPlcHdr"/>
        </w:types>
        <w:behaviors>
          <w:behavior w:val="content"/>
        </w:behaviors>
        <w:guid w:val="{9F04FEA9-44EF-49DA-99F6-5C1102C379E2}"/>
      </w:docPartPr>
      <w:docPartBody>
        <w:p w:rsidR="00AB23C4" w:rsidRDefault="00536945" w:rsidP="00536945">
          <w:pPr>
            <w:pStyle w:val="47602D4B5C8540FD8C74CD0ED3A32855"/>
          </w:pPr>
          <w:r>
            <w:rPr>
              <w:rStyle w:val="a3"/>
            </w:rPr>
            <w:t>Click here to enter text.</w:t>
          </w:r>
        </w:p>
      </w:docPartBody>
    </w:docPart>
    <w:docPart>
      <w:docPartPr>
        <w:name w:val="AF77CA9D4F05409AA0FD86C8763886A2"/>
        <w:category>
          <w:name w:val="כללי"/>
          <w:gallery w:val="placeholder"/>
        </w:category>
        <w:types>
          <w:type w:val="bbPlcHdr"/>
        </w:types>
        <w:behaviors>
          <w:behavior w:val="content"/>
        </w:behaviors>
        <w:guid w:val="{5C681ABD-41E3-4058-89ED-5D3B9877496B}"/>
      </w:docPartPr>
      <w:docPartBody>
        <w:p w:rsidR="00AB23C4" w:rsidRDefault="00536945" w:rsidP="00536945">
          <w:pPr>
            <w:pStyle w:val="AF77CA9D4F05409AA0FD86C8763886A2"/>
          </w:pPr>
          <w:r>
            <w:rPr>
              <w:rStyle w:val="a3"/>
            </w:rPr>
            <w:t>Click here to enter text.</w:t>
          </w:r>
        </w:p>
      </w:docPartBody>
    </w:docPart>
    <w:docPart>
      <w:docPartPr>
        <w:name w:val="900570E2309B4D518C255CE73AE816C0"/>
        <w:category>
          <w:name w:val="כללי"/>
          <w:gallery w:val="placeholder"/>
        </w:category>
        <w:types>
          <w:type w:val="bbPlcHdr"/>
        </w:types>
        <w:behaviors>
          <w:behavior w:val="content"/>
        </w:behaviors>
        <w:guid w:val="{3FA229C8-AABC-455A-A43E-6D7D74EC3DB7}"/>
      </w:docPartPr>
      <w:docPartBody>
        <w:p w:rsidR="00AB23C4" w:rsidRDefault="00536945" w:rsidP="00536945">
          <w:pPr>
            <w:pStyle w:val="900570E2309B4D518C255CE73AE816C0"/>
          </w:pPr>
          <w:r>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2F3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36945"/>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B23C4"/>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945"/>
  </w:style>
  <w:style w:type="paragraph" w:customStyle="1" w:styleId="88BE3BA8B1DB48CAA6DDEE63E58F7505">
    <w:name w:val="88BE3BA8B1DB48CAA6DDEE63E58F7505"/>
    <w:rsid w:val="00536945"/>
    <w:pPr>
      <w:bidi/>
      <w:spacing w:after="160" w:line="259" w:lineRule="auto"/>
    </w:pPr>
  </w:style>
  <w:style w:type="paragraph" w:customStyle="1" w:styleId="F8467485D338496D87EC5C130E34D74D">
    <w:name w:val="F8467485D338496D87EC5C130E34D74D"/>
    <w:rsid w:val="00536945"/>
    <w:pPr>
      <w:bidi/>
      <w:spacing w:after="160" w:line="259" w:lineRule="auto"/>
    </w:pPr>
  </w:style>
  <w:style w:type="paragraph" w:customStyle="1" w:styleId="5ADEE0D02219426CAFE8E688CD226A0D">
    <w:name w:val="5ADEE0D02219426CAFE8E688CD226A0D"/>
    <w:rsid w:val="00536945"/>
    <w:pPr>
      <w:bidi/>
      <w:spacing w:after="160" w:line="259" w:lineRule="auto"/>
    </w:pPr>
  </w:style>
  <w:style w:type="paragraph" w:customStyle="1" w:styleId="2E525B025D4244189B71397E40EFA143">
    <w:name w:val="2E525B025D4244189B71397E40EFA143"/>
    <w:rsid w:val="00536945"/>
    <w:pPr>
      <w:bidi/>
      <w:spacing w:after="160" w:line="259" w:lineRule="auto"/>
    </w:pPr>
  </w:style>
  <w:style w:type="paragraph" w:customStyle="1" w:styleId="47602D4B5C8540FD8C74CD0ED3A32855">
    <w:name w:val="47602D4B5C8540FD8C74CD0ED3A32855"/>
    <w:rsid w:val="00536945"/>
    <w:pPr>
      <w:bidi/>
      <w:spacing w:after="160" w:line="259" w:lineRule="auto"/>
    </w:pPr>
  </w:style>
  <w:style w:type="paragraph" w:customStyle="1" w:styleId="AF77CA9D4F05409AA0FD86C8763886A2">
    <w:name w:val="AF77CA9D4F05409AA0FD86C8763886A2"/>
    <w:rsid w:val="00536945"/>
    <w:pPr>
      <w:bidi/>
      <w:spacing w:after="160" w:line="259" w:lineRule="auto"/>
    </w:pPr>
  </w:style>
  <w:style w:type="paragraph" w:customStyle="1" w:styleId="900570E2309B4D518C255CE73AE816C0">
    <w:name w:val="900570E2309B4D518C255CE73AE816C0"/>
    <w:rsid w:val="00536945"/>
    <w:pPr>
      <w:bidi/>
      <w:spacing w:after="160" w:line="259" w:lineRule="auto"/>
    </w:pPr>
  </w:style>
  <w:style w:type="paragraph" w:customStyle="1" w:styleId="B072839F21F84BF08B4845CD9F6DD38E">
    <w:name w:val="B072839F21F84BF08B4845CD9F6DD38E"/>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02DDC835BEBC4AB1BCA77869B259A3A7">
    <w:name w:val="02DDC835BEBC4AB1BCA77869B259A3A7"/>
    <w:rsid w:val="00C00F8A"/>
  </w:style>
  <w:style w:type="paragraph" w:customStyle="1" w:styleId="6A736310EDD7424FBD5A68653055D5BA">
    <w:name w:val="6A736310EDD7424FBD5A68653055D5BA"/>
    <w:rsid w:val="00F60A57"/>
    <w:pPr>
      <w:bidi/>
      <w:spacing w:after="160" w:line="259" w:lineRule="auto"/>
    </w:pPr>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iraDocID xmlns="63fa8238-a656-4ef2-90c4-190d320c8540">11229080</ShiraDocID>
    <IconOverlay xmlns="http://schemas.microsoft.com/sharepoint/v4" xsi:nil="true"/>
    <DocUniqueNumber xmlns="350b8fcf-2ce9-4dda-bdc5-77d0d982505e">14748391</DocUniqueNumber>
    <_vti_ItemHoldRecordStatus xmlns="http://schemas.microsoft.com/sharepoint/v3">0</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53512BF02D194CBCE2EA134D1C0590" ma:contentTypeVersion="6" ma:contentTypeDescription="Create a new document." ma:contentTypeScope="" ma:versionID="b2d0183a65fcec3210c783a430c0898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e86770f3-6d5d-4f33-91a7-656368279672" targetNamespace="http://schemas.microsoft.com/office/2006/metadata/properties" ma:root="true" ma:fieldsID="77bb4240890850e0e7abe6966beb9db7" ns1:_="" ns2:_="" ns3:_="" ns4:_="" ns5:_="">
    <xsd:import namespace="http://schemas.microsoft.com/sharepoint/v3"/>
    <xsd:import namespace="63fa8238-a656-4ef2-90c4-190d320c8540"/>
    <xsd:import namespace="http://schemas.microsoft.com/sharepoint/v4"/>
    <xsd:import namespace="350b8fcf-2ce9-4dda-bdc5-77d0d982505e"/>
    <xsd:import namespace="e86770f3-6d5d-4f33-91a7-65636827967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6770f3-6d5d-4f33-91a7-65636827967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E7306-1D28-4DBA-9EE7-DF5A1C4FCB22}">
  <ds:schemaRefs>
    <ds:schemaRef ds:uri="http://schemas.openxmlformats.org/officeDocument/2006/bibliography"/>
  </ds:schemaRefs>
</ds:datastoreItem>
</file>

<file path=customXml/itemProps2.xml><?xml version="1.0" encoding="utf-8"?>
<ds:datastoreItem xmlns:ds="http://schemas.openxmlformats.org/officeDocument/2006/customXml" ds:itemID="{4E3426D8-49AF-466F-9A53-7A93486E8EB9}">
  <ds:schemaRefs>
    <ds:schemaRef ds:uri="63fa8238-a656-4ef2-90c4-190d320c8540"/>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e86770f3-6d5d-4f33-91a7-656368279672"/>
    <ds:schemaRef ds:uri="350b8fcf-2ce9-4dda-bdc5-77d0d982505e"/>
    <ds:schemaRef ds:uri="http://schemas.microsoft.com/office/2006/metadata/propertie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7C9BCD5-F727-435B-905B-AE3A95DE48DD}">
  <ds:schemaRefs>
    <ds:schemaRef ds:uri="http://schemas.microsoft.com/sharepoint/v3/contenttype/forms"/>
  </ds:schemaRefs>
</ds:datastoreItem>
</file>

<file path=customXml/itemProps4.xml><?xml version="1.0" encoding="utf-8"?>
<ds:datastoreItem xmlns:ds="http://schemas.openxmlformats.org/officeDocument/2006/customXml" ds:itemID="{3358B339-9E73-4E6E-9C6E-70D2B700A8EC}"/>
</file>

<file path=docProps/app.xml><?xml version="1.0" encoding="utf-8"?>
<Properties xmlns="http://schemas.openxmlformats.org/officeDocument/2006/extended-properties" xmlns:vt="http://schemas.openxmlformats.org/officeDocument/2006/docPropsVTypes">
  <Template>Normal</Template>
  <TotalTime>790</TotalTime>
  <Pages>4</Pages>
  <Words>1697</Words>
  <Characters>7562</Characters>
  <Application>Microsoft Office Word</Application>
  <DocSecurity>0</DocSecurity>
  <Lines>160</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שלמה שפירא</cp:lastModifiedBy>
  <cp:revision>37</cp:revision>
  <cp:lastPrinted>2016-02-03T07:04:00Z</cp:lastPrinted>
  <dcterms:created xsi:type="dcterms:W3CDTF">2016-07-07T12:21:00Z</dcterms:created>
  <dcterms:modified xsi:type="dcterms:W3CDTF">2022-08-28T19:21:00Z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11229080</vt:lpwstr>
  </property>
  <property fmtid="{D5CDD505-2E9C-101B-9397-08002B2CF9AE}" pid="4" name="ContentTypeId">
    <vt:lpwstr>0x0101009653512BF02D194CBCE2EA134D1C0590</vt:lpwstr>
  </property>
  <property fmtid="{D5CDD505-2E9C-101B-9397-08002B2CF9AE}" pid="5" name="ecm_ItemLockHolders">
    <vt:lpwstr/>
  </property>
</Properties>
</file>