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15"/>
        <w:gridCol w:w="8635"/>
      </w:tblGrid>
      <w:tr w:rsidR="00D52E39" w:rsidTr="00A91B0E">
        <w:tc>
          <w:tcPr>
            <w:tcW w:w="9350" w:type="dxa"/>
            <w:gridSpan w:val="2"/>
          </w:tcPr>
          <w:p w:rsidR="00D52E39" w:rsidRDefault="00D52E39" w:rsidP="00D52E39">
            <w:pPr>
              <w:pStyle w:val="BodyText"/>
              <w:ind w:left="120" w:right="363"/>
            </w:pPr>
            <w:r>
              <w:rPr>
                <w:b/>
              </w:rPr>
              <w:t xml:space="preserve">Individual learning plan or ILP </w:t>
            </w:r>
            <w:r>
              <w:t xml:space="preserve">means a comprehensive framework for advising students in grades six (6) through twelve (12) to engage in coursework and activities that will best prepare them to both realize college and career success and become contributing members of their communities. </w:t>
            </w:r>
            <w:hyperlink r:id="rId7">
              <w:r>
                <w:rPr>
                  <w:color w:val="0462C1"/>
                  <w:sz w:val="22"/>
                  <w:u w:val="single" w:color="0462C1"/>
                </w:rPr>
                <w:t>(</w:t>
              </w:r>
              <w:r>
                <w:rPr>
                  <w:color w:val="0462C1"/>
                  <w:u w:val="single" w:color="0462C1"/>
                </w:rPr>
                <w:t>704 KAR 19:002)</w:t>
              </w:r>
            </w:hyperlink>
          </w:p>
          <w:p w:rsidR="00D52E39" w:rsidRDefault="00D52E39"/>
        </w:tc>
      </w:tr>
      <w:tr w:rsidR="00D52E39" w:rsidTr="00A126DE">
        <w:tc>
          <w:tcPr>
            <w:tcW w:w="9350" w:type="dxa"/>
            <w:gridSpan w:val="2"/>
          </w:tcPr>
          <w:p w:rsidR="00D52E39" w:rsidRDefault="00D52E39" w:rsidP="00D52E39">
            <w:pPr>
              <w:spacing w:before="76" w:line="274" w:lineRule="exact"/>
              <w:ind w:left="120"/>
              <w:rPr>
                <w:b/>
                <w:sz w:val="24"/>
              </w:rPr>
            </w:pPr>
            <w:r>
              <w:rPr>
                <w:b/>
                <w:sz w:val="24"/>
              </w:rPr>
              <w:t>District Requirements</w:t>
            </w:r>
          </w:p>
          <w:p w:rsidR="00D52E39" w:rsidRDefault="00D52E39" w:rsidP="00D52E39">
            <w:pPr>
              <w:spacing w:line="274" w:lineRule="exact"/>
              <w:ind w:left="120"/>
              <w:rPr>
                <w:i/>
                <w:sz w:val="24"/>
              </w:rPr>
            </w:pPr>
            <w:r>
              <w:rPr>
                <w:i/>
                <w:sz w:val="24"/>
              </w:rPr>
              <w:t xml:space="preserve">All requirements can be found within </w:t>
            </w:r>
            <w:hyperlink r:id="rId8">
              <w:r>
                <w:rPr>
                  <w:i/>
                  <w:color w:val="0462C1"/>
                  <w:sz w:val="24"/>
                  <w:u w:val="single" w:color="0462C1"/>
                </w:rPr>
                <w:t>704 KAR 3:305</w:t>
              </w:r>
            </w:hyperlink>
            <w:r>
              <w:rPr>
                <w:i/>
                <w:sz w:val="24"/>
              </w:rPr>
              <w:t>.</w:t>
            </w:r>
          </w:p>
          <w:p w:rsidR="00D52E39" w:rsidRDefault="00D52E39"/>
        </w:tc>
      </w:tr>
      <w:tr w:rsidR="00D52E39" w:rsidTr="00D52E39">
        <w:tc>
          <w:tcPr>
            <w:tcW w:w="715" w:type="dxa"/>
          </w:tcPr>
          <w:p w:rsidR="00D52E39" w:rsidRDefault="00D52E39"/>
        </w:tc>
        <w:tc>
          <w:tcPr>
            <w:tcW w:w="8635" w:type="dxa"/>
          </w:tcPr>
          <w:p w:rsidR="00D52E39" w:rsidRPr="00D52E39" w:rsidRDefault="00D52E39" w:rsidP="00D52E39">
            <w:pPr>
              <w:tabs>
                <w:tab w:val="left" w:pos="1561"/>
              </w:tabs>
              <w:spacing w:before="16"/>
              <w:rPr>
                <w:sz w:val="24"/>
              </w:rPr>
            </w:pPr>
            <w:r w:rsidRPr="00D52E39">
              <w:rPr>
                <w:sz w:val="24"/>
              </w:rPr>
              <w:t>implement</w:t>
            </w:r>
            <w:r w:rsidRPr="00D52E39">
              <w:rPr>
                <w:spacing w:val="17"/>
                <w:sz w:val="24"/>
              </w:rPr>
              <w:t xml:space="preserve"> </w:t>
            </w:r>
            <w:r w:rsidRPr="00D52E39">
              <w:rPr>
                <w:sz w:val="24"/>
              </w:rPr>
              <w:t>an</w:t>
            </w:r>
            <w:r w:rsidRPr="00D52E39">
              <w:rPr>
                <w:spacing w:val="16"/>
                <w:sz w:val="24"/>
              </w:rPr>
              <w:t xml:space="preserve"> </w:t>
            </w:r>
            <w:r w:rsidRPr="00D52E39">
              <w:rPr>
                <w:sz w:val="24"/>
              </w:rPr>
              <w:t>advising</w:t>
            </w:r>
            <w:r w:rsidRPr="00D52E39">
              <w:rPr>
                <w:spacing w:val="16"/>
                <w:sz w:val="24"/>
              </w:rPr>
              <w:t xml:space="preserve"> </w:t>
            </w:r>
            <w:r w:rsidRPr="00D52E39">
              <w:rPr>
                <w:sz w:val="24"/>
              </w:rPr>
              <w:t>and</w:t>
            </w:r>
            <w:r w:rsidRPr="00D52E39">
              <w:rPr>
                <w:spacing w:val="20"/>
                <w:sz w:val="24"/>
              </w:rPr>
              <w:t xml:space="preserve"> </w:t>
            </w:r>
            <w:r w:rsidRPr="00D52E39">
              <w:rPr>
                <w:sz w:val="24"/>
              </w:rPr>
              <w:t>guidance</w:t>
            </w:r>
            <w:r w:rsidRPr="00D52E39">
              <w:rPr>
                <w:spacing w:val="18"/>
                <w:sz w:val="24"/>
              </w:rPr>
              <w:t xml:space="preserve"> </w:t>
            </w:r>
            <w:r w:rsidRPr="00D52E39">
              <w:rPr>
                <w:sz w:val="24"/>
              </w:rPr>
              <w:t>process</w:t>
            </w:r>
            <w:r w:rsidRPr="00D52E39">
              <w:rPr>
                <w:spacing w:val="17"/>
                <w:sz w:val="24"/>
              </w:rPr>
              <w:t xml:space="preserve"> </w:t>
            </w:r>
            <w:r w:rsidRPr="00D52E39">
              <w:rPr>
                <w:sz w:val="24"/>
              </w:rPr>
              <w:t>from</w:t>
            </w:r>
            <w:r w:rsidRPr="00D52E39">
              <w:rPr>
                <w:spacing w:val="17"/>
                <w:sz w:val="24"/>
              </w:rPr>
              <w:t xml:space="preserve"> </w:t>
            </w:r>
            <w:r w:rsidRPr="00D52E39">
              <w:rPr>
                <w:sz w:val="24"/>
              </w:rPr>
              <w:t>grades</w:t>
            </w:r>
            <w:r w:rsidRPr="00D52E39">
              <w:rPr>
                <w:spacing w:val="20"/>
                <w:sz w:val="24"/>
              </w:rPr>
              <w:t xml:space="preserve"> </w:t>
            </w:r>
            <w:r w:rsidRPr="00D52E39">
              <w:rPr>
                <w:sz w:val="24"/>
              </w:rPr>
              <w:t>six</w:t>
            </w:r>
            <w:r w:rsidRPr="00D52E39">
              <w:rPr>
                <w:spacing w:val="20"/>
                <w:sz w:val="24"/>
              </w:rPr>
              <w:t xml:space="preserve"> </w:t>
            </w:r>
            <w:r w:rsidRPr="00D52E39">
              <w:rPr>
                <w:sz w:val="24"/>
              </w:rPr>
              <w:t>(6)</w:t>
            </w:r>
            <w:r w:rsidRPr="00D52E39">
              <w:rPr>
                <w:spacing w:val="15"/>
                <w:sz w:val="24"/>
              </w:rPr>
              <w:t xml:space="preserve"> </w:t>
            </w:r>
            <w:r w:rsidRPr="00D52E39">
              <w:rPr>
                <w:sz w:val="24"/>
              </w:rPr>
              <w:t>through</w:t>
            </w:r>
            <w:r w:rsidRPr="00D52E39">
              <w:rPr>
                <w:spacing w:val="20"/>
                <w:sz w:val="24"/>
              </w:rPr>
              <w:t xml:space="preserve"> </w:t>
            </w:r>
            <w:r w:rsidRPr="00D52E39">
              <w:rPr>
                <w:sz w:val="24"/>
              </w:rPr>
              <w:t>twelve</w:t>
            </w:r>
          </w:p>
          <w:p w:rsidR="00D52E39" w:rsidRDefault="00D52E39" w:rsidP="00D52E39">
            <w:pPr>
              <w:pStyle w:val="BodyText"/>
              <w:spacing w:before="2" w:line="259" w:lineRule="auto"/>
            </w:pPr>
            <w:r>
              <w:t>(12) to provide support for the development and implementation of an individual learning plan for each student</w:t>
            </w:r>
          </w:p>
          <w:p w:rsidR="00D52E39" w:rsidRDefault="00D52E39" w:rsidP="00D52E39">
            <w:pPr>
              <w:pStyle w:val="BodyText"/>
              <w:spacing w:before="2" w:line="259" w:lineRule="auto"/>
            </w:pPr>
          </w:p>
        </w:tc>
      </w:tr>
      <w:tr w:rsidR="00D52E39" w:rsidTr="00D52E39">
        <w:tc>
          <w:tcPr>
            <w:tcW w:w="715" w:type="dxa"/>
          </w:tcPr>
          <w:p w:rsidR="00D52E39" w:rsidRDefault="00D52E39"/>
        </w:tc>
        <w:tc>
          <w:tcPr>
            <w:tcW w:w="8635" w:type="dxa"/>
          </w:tcPr>
          <w:p w:rsidR="00D52E39" w:rsidRPr="00D52E39" w:rsidRDefault="00D52E39" w:rsidP="00D52E39">
            <w:pPr>
              <w:tabs>
                <w:tab w:val="left" w:pos="1561"/>
              </w:tabs>
              <w:spacing w:before="1"/>
              <w:ind w:right="296"/>
              <w:rPr>
                <w:sz w:val="24"/>
              </w:rPr>
            </w:pPr>
            <w:r w:rsidRPr="00D52E39">
              <w:rPr>
                <w:sz w:val="24"/>
              </w:rPr>
              <w:t>develop</w:t>
            </w:r>
            <w:r w:rsidRPr="00D52E39">
              <w:rPr>
                <w:spacing w:val="-13"/>
                <w:sz w:val="24"/>
              </w:rPr>
              <w:t xml:space="preserve"> </w:t>
            </w:r>
            <w:r w:rsidRPr="00D52E39">
              <w:rPr>
                <w:sz w:val="24"/>
              </w:rPr>
              <w:t>a</w:t>
            </w:r>
            <w:r w:rsidRPr="00D52E39">
              <w:rPr>
                <w:spacing w:val="-14"/>
                <w:sz w:val="24"/>
              </w:rPr>
              <w:t xml:space="preserve"> </w:t>
            </w:r>
            <w:r w:rsidRPr="00D52E39">
              <w:rPr>
                <w:sz w:val="24"/>
              </w:rPr>
              <w:t>method</w:t>
            </w:r>
            <w:r w:rsidRPr="00D52E39">
              <w:rPr>
                <w:spacing w:val="-13"/>
                <w:sz w:val="24"/>
              </w:rPr>
              <w:t xml:space="preserve"> </w:t>
            </w:r>
            <w:r w:rsidRPr="00D52E39">
              <w:rPr>
                <w:sz w:val="24"/>
              </w:rPr>
              <w:t>to</w:t>
            </w:r>
            <w:r w:rsidRPr="00D52E39">
              <w:rPr>
                <w:spacing w:val="-13"/>
                <w:sz w:val="24"/>
              </w:rPr>
              <w:t xml:space="preserve"> </w:t>
            </w:r>
            <w:r w:rsidRPr="00D52E39">
              <w:rPr>
                <w:sz w:val="24"/>
              </w:rPr>
              <w:t>evaluate</w:t>
            </w:r>
            <w:r w:rsidRPr="00D52E39">
              <w:rPr>
                <w:spacing w:val="-14"/>
                <w:sz w:val="24"/>
              </w:rPr>
              <w:t xml:space="preserve"> </w:t>
            </w:r>
            <w:r w:rsidRPr="00D52E39">
              <w:rPr>
                <w:sz w:val="24"/>
              </w:rPr>
              <w:t>the</w:t>
            </w:r>
            <w:r w:rsidRPr="00D52E39">
              <w:rPr>
                <w:spacing w:val="-14"/>
                <w:sz w:val="24"/>
              </w:rPr>
              <w:t xml:space="preserve"> </w:t>
            </w:r>
            <w:r w:rsidRPr="00D52E39">
              <w:rPr>
                <w:sz w:val="24"/>
              </w:rPr>
              <w:t>effectiveness</w:t>
            </w:r>
            <w:r w:rsidRPr="00D52E39">
              <w:rPr>
                <w:spacing w:val="-13"/>
                <w:sz w:val="24"/>
              </w:rPr>
              <w:t xml:space="preserve"> </w:t>
            </w:r>
            <w:r w:rsidRPr="00D52E39">
              <w:rPr>
                <w:sz w:val="24"/>
              </w:rPr>
              <w:t>and</w:t>
            </w:r>
            <w:r w:rsidRPr="00D52E39">
              <w:rPr>
                <w:spacing w:val="-11"/>
                <w:sz w:val="24"/>
              </w:rPr>
              <w:t xml:space="preserve"> </w:t>
            </w:r>
            <w:r w:rsidRPr="00D52E39">
              <w:rPr>
                <w:sz w:val="24"/>
              </w:rPr>
              <w:t>results</w:t>
            </w:r>
            <w:r w:rsidRPr="00D52E39">
              <w:rPr>
                <w:spacing w:val="-13"/>
                <w:sz w:val="24"/>
              </w:rPr>
              <w:t xml:space="preserve"> </w:t>
            </w:r>
            <w:r w:rsidRPr="00D52E39">
              <w:rPr>
                <w:sz w:val="24"/>
              </w:rPr>
              <w:t>of</w:t>
            </w:r>
            <w:r w:rsidRPr="00D52E39">
              <w:rPr>
                <w:spacing w:val="-14"/>
                <w:sz w:val="24"/>
              </w:rPr>
              <w:t xml:space="preserve"> </w:t>
            </w:r>
            <w:r w:rsidRPr="00D52E39">
              <w:rPr>
                <w:sz w:val="24"/>
              </w:rPr>
              <w:t>the</w:t>
            </w:r>
            <w:r w:rsidRPr="00D52E39">
              <w:rPr>
                <w:spacing w:val="-11"/>
                <w:sz w:val="24"/>
              </w:rPr>
              <w:t xml:space="preserve"> </w:t>
            </w:r>
            <w:r w:rsidRPr="00D52E39">
              <w:rPr>
                <w:sz w:val="24"/>
              </w:rPr>
              <w:t>individual</w:t>
            </w:r>
            <w:r w:rsidRPr="00D52E39">
              <w:rPr>
                <w:spacing w:val="-13"/>
                <w:sz w:val="24"/>
              </w:rPr>
              <w:t xml:space="preserve"> </w:t>
            </w:r>
            <w:r w:rsidRPr="00D52E39">
              <w:rPr>
                <w:sz w:val="24"/>
              </w:rPr>
              <w:t>learning plan process which includes:</w:t>
            </w:r>
          </w:p>
          <w:p w:rsidR="00D52E39" w:rsidRDefault="00D52E39" w:rsidP="00D52E39">
            <w:pPr>
              <w:tabs>
                <w:tab w:val="left" w:pos="2280"/>
                <w:tab w:val="left" w:pos="2281"/>
              </w:tabs>
              <w:spacing w:line="275" w:lineRule="exact"/>
            </w:pPr>
          </w:p>
        </w:tc>
      </w:tr>
      <w:tr w:rsidR="00D52E39" w:rsidTr="00D52E39">
        <w:tc>
          <w:tcPr>
            <w:tcW w:w="715" w:type="dxa"/>
          </w:tcPr>
          <w:p w:rsidR="00D52E39" w:rsidRDefault="00D52E39"/>
        </w:tc>
        <w:tc>
          <w:tcPr>
            <w:tcW w:w="8635" w:type="dxa"/>
          </w:tcPr>
          <w:p w:rsidR="00D52E39" w:rsidRPr="00D52E39" w:rsidRDefault="00D52E39" w:rsidP="00D52E39">
            <w:pPr>
              <w:tabs>
                <w:tab w:val="left" w:pos="2280"/>
                <w:tab w:val="left" w:pos="2281"/>
              </w:tabs>
              <w:spacing w:before="23" w:line="259" w:lineRule="auto"/>
              <w:ind w:right="302"/>
              <w:rPr>
                <w:sz w:val="24"/>
              </w:rPr>
            </w:pPr>
            <w:r w:rsidRPr="00D52E39">
              <w:rPr>
                <w:sz w:val="24"/>
              </w:rPr>
              <w:t>indicators related to the status of the student in the twelve (12) months following the date of</w:t>
            </w:r>
            <w:r w:rsidRPr="00D52E39">
              <w:rPr>
                <w:spacing w:val="-4"/>
                <w:sz w:val="24"/>
              </w:rPr>
              <w:t xml:space="preserve"> </w:t>
            </w:r>
            <w:r w:rsidRPr="00D52E39">
              <w:rPr>
                <w:sz w:val="24"/>
              </w:rPr>
              <w:t>graduation</w:t>
            </w:r>
          </w:p>
          <w:p w:rsidR="00D52E39" w:rsidRDefault="00D52E39"/>
        </w:tc>
      </w:tr>
      <w:tr w:rsidR="00D52E39" w:rsidTr="00D52E39">
        <w:tc>
          <w:tcPr>
            <w:tcW w:w="715" w:type="dxa"/>
          </w:tcPr>
          <w:p w:rsidR="00D52E39" w:rsidRDefault="00D52E39"/>
        </w:tc>
        <w:tc>
          <w:tcPr>
            <w:tcW w:w="8635" w:type="dxa"/>
          </w:tcPr>
          <w:p w:rsidR="00D52E39" w:rsidRPr="00D52E39" w:rsidRDefault="00D52E39" w:rsidP="00D52E39">
            <w:pPr>
              <w:tabs>
                <w:tab w:val="left" w:pos="2280"/>
                <w:tab w:val="left" w:pos="2281"/>
              </w:tabs>
              <w:spacing w:line="275" w:lineRule="exact"/>
              <w:rPr>
                <w:sz w:val="24"/>
              </w:rPr>
            </w:pPr>
            <w:r w:rsidRPr="00D52E39">
              <w:rPr>
                <w:sz w:val="24"/>
              </w:rPr>
              <w:t>input from students, parents, and school</w:t>
            </w:r>
            <w:r w:rsidRPr="00D52E39">
              <w:rPr>
                <w:spacing w:val="-1"/>
                <w:sz w:val="24"/>
              </w:rPr>
              <w:t xml:space="preserve"> </w:t>
            </w:r>
            <w:r w:rsidRPr="00D52E39">
              <w:rPr>
                <w:sz w:val="24"/>
              </w:rPr>
              <w:t>staff</w:t>
            </w:r>
          </w:p>
          <w:p w:rsidR="00D52E39" w:rsidRDefault="00D52E39"/>
        </w:tc>
      </w:tr>
      <w:tr w:rsidR="00D52E39" w:rsidTr="00041E6C">
        <w:tc>
          <w:tcPr>
            <w:tcW w:w="9350" w:type="dxa"/>
            <w:gridSpan w:val="2"/>
          </w:tcPr>
          <w:p w:rsidR="00D52E39" w:rsidRDefault="00D52E39" w:rsidP="00D52E39">
            <w:pPr>
              <w:pStyle w:val="Heading1"/>
              <w:spacing w:before="1"/>
              <w:outlineLvl w:val="0"/>
            </w:pPr>
            <w:r>
              <w:t>School Requirements</w:t>
            </w:r>
          </w:p>
          <w:p w:rsidR="00D52E39" w:rsidRDefault="00D52E39"/>
        </w:tc>
      </w:tr>
      <w:tr w:rsidR="00D52E39" w:rsidTr="00D52E39">
        <w:trPr>
          <w:trHeight w:val="284"/>
        </w:trPr>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16" w:line="249" w:lineRule="auto"/>
              <w:ind w:right="296"/>
              <w:jc w:val="both"/>
              <w:rPr>
                <w:sz w:val="24"/>
              </w:rPr>
            </w:pPr>
            <w:r w:rsidRPr="00D52E39">
              <w:rPr>
                <w:sz w:val="24"/>
              </w:rPr>
              <w:t>work cooperatively with feeder schools to ensure that each student and parent receives</w:t>
            </w:r>
            <w:r w:rsidRPr="00D52E39">
              <w:rPr>
                <w:spacing w:val="-16"/>
                <w:sz w:val="24"/>
              </w:rPr>
              <w:t xml:space="preserve"> </w:t>
            </w:r>
            <w:r w:rsidRPr="00D52E39">
              <w:rPr>
                <w:sz w:val="24"/>
              </w:rPr>
              <w:t>information</w:t>
            </w:r>
            <w:r w:rsidRPr="00D52E39">
              <w:rPr>
                <w:spacing w:val="-13"/>
                <w:sz w:val="24"/>
              </w:rPr>
              <w:t xml:space="preserve"> </w:t>
            </w:r>
            <w:r w:rsidRPr="00D52E39">
              <w:rPr>
                <w:sz w:val="24"/>
              </w:rPr>
              <w:t>and</w:t>
            </w:r>
            <w:r w:rsidRPr="00D52E39">
              <w:rPr>
                <w:spacing w:val="-13"/>
                <w:sz w:val="24"/>
              </w:rPr>
              <w:t xml:space="preserve"> </w:t>
            </w:r>
            <w:r w:rsidRPr="00D52E39">
              <w:rPr>
                <w:sz w:val="24"/>
              </w:rPr>
              <w:t>advising</w:t>
            </w:r>
            <w:r w:rsidRPr="00D52E39">
              <w:rPr>
                <w:spacing w:val="-18"/>
                <w:sz w:val="24"/>
              </w:rPr>
              <w:t xml:space="preserve"> </w:t>
            </w:r>
            <w:r w:rsidRPr="00D52E39">
              <w:rPr>
                <w:sz w:val="24"/>
              </w:rPr>
              <w:t>regarding</w:t>
            </w:r>
            <w:r w:rsidRPr="00D52E39">
              <w:rPr>
                <w:spacing w:val="-16"/>
                <w:sz w:val="24"/>
              </w:rPr>
              <w:t xml:space="preserve"> </w:t>
            </w:r>
            <w:r w:rsidRPr="00D52E39">
              <w:rPr>
                <w:sz w:val="24"/>
              </w:rPr>
              <w:t>the</w:t>
            </w:r>
            <w:r w:rsidRPr="00D52E39">
              <w:rPr>
                <w:spacing w:val="-16"/>
                <w:sz w:val="24"/>
              </w:rPr>
              <w:t xml:space="preserve"> </w:t>
            </w:r>
            <w:r w:rsidRPr="00D52E39">
              <w:rPr>
                <w:sz w:val="24"/>
              </w:rPr>
              <w:t>relationship</w:t>
            </w:r>
            <w:r w:rsidRPr="00D52E39">
              <w:rPr>
                <w:spacing w:val="-16"/>
                <w:sz w:val="24"/>
              </w:rPr>
              <w:t xml:space="preserve"> </w:t>
            </w:r>
            <w:r w:rsidRPr="00D52E39">
              <w:rPr>
                <w:sz w:val="24"/>
              </w:rPr>
              <w:t>between</w:t>
            </w:r>
            <w:r w:rsidRPr="00D52E39">
              <w:rPr>
                <w:spacing w:val="-13"/>
                <w:sz w:val="24"/>
              </w:rPr>
              <w:t xml:space="preserve"> </w:t>
            </w:r>
            <w:r w:rsidRPr="00D52E39">
              <w:rPr>
                <w:sz w:val="24"/>
              </w:rPr>
              <w:t>education</w:t>
            </w:r>
            <w:r w:rsidRPr="00D52E39">
              <w:rPr>
                <w:spacing w:val="-16"/>
                <w:sz w:val="24"/>
              </w:rPr>
              <w:t xml:space="preserve"> </w:t>
            </w:r>
            <w:r w:rsidRPr="00D52E39">
              <w:rPr>
                <w:sz w:val="24"/>
              </w:rPr>
              <w:t>and career</w:t>
            </w:r>
            <w:r w:rsidRPr="00D52E39">
              <w:rPr>
                <w:spacing w:val="-1"/>
                <w:sz w:val="24"/>
              </w:rPr>
              <w:t xml:space="preserve"> </w:t>
            </w:r>
            <w:r w:rsidRPr="00D52E39">
              <w:rPr>
                <w:sz w:val="24"/>
              </w:rPr>
              <w:t>opportunities</w:t>
            </w:r>
          </w:p>
          <w:p w:rsidR="00D52E39" w:rsidRDefault="00D52E39" w:rsidP="00D52E39">
            <w:pPr>
              <w:pStyle w:val="Heading1"/>
              <w:spacing w:before="1"/>
              <w:outlineLvl w:val="0"/>
            </w:pPr>
          </w:p>
        </w:tc>
      </w:tr>
      <w:tr w:rsidR="00D52E39" w:rsidTr="00D52E39">
        <w:trPr>
          <w:trHeight w:val="283"/>
        </w:trPr>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12"/>
              <w:rPr>
                <w:sz w:val="24"/>
              </w:rPr>
            </w:pPr>
            <w:r w:rsidRPr="00D52E39">
              <w:rPr>
                <w:sz w:val="24"/>
              </w:rPr>
              <w:t>maintain each student’s ILP (paper format or electronic format)</w:t>
            </w:r>
          </w:p>
          <w:p w:rsidR="00D52E39" w:rsidRDefault="00D52E39" w:rsidP="00D52E39">
            <w:pPr>
              <w:pStyle w:val="Heading1"/>
              <w:spacing w:before="1"/>
              <w:outlineLvl w:val="0"/>
            </w:pPr>
          </w:p>
        </w:tc>
      </w:tr>
      <w:tr w:rsidR="00D52E39" w:rsidTr="00D52E39">
        <w:trPr>
          <w:trHeight w:val="283"/>
        </w:trPr>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4"/>
              <w:ind w:right="300"/>
              <w:rPr>
                <w:sz w:val="24"/>
              </w:rPr>
            </w:pPr>
            <w:r w:rsidRPr="00D52E39">
              <w:rPr>
                <w:sz w:val="24"/>
              </w:rPr>
              <w:t>use information from the ILPs about student needs for academic and elective courses to plan academic and elective</w:t>
            </w:r>
            <w:r w:rsidRPr="00D52E39">
              <w:rPr>
                <w:spacing w:val="-2"/>
                <w:sz w:val="24"/>
              </w:rPr>
              <w:t xml:space="preserve"> </w:t>
            </w:r>
            <w:r w:rsidRPr="00D52E39">
              <w:rPr>
                <w:sz w:val="24"/>
              </w:rPr>
              <w:t>offerings</w:t>
            </w:r>
          </w:p>
          <w:p w:rsidR="00D52E39" w:rsidRDefault="00D52E39" w:rsidP="00D52E39">
            <w:pPr>
              <w:pStyle w:val="Heading1"/>
              <w:spacing w:before="1"/>
              <w:outlineLvl w:val="0"/>
            </w:pPr>
          </w:p>
        </w:tc>
      </w:tr>
      <w:tr w:rsidR="00D52E39" w:rsidTr="00404F13">
        <w:tc>
          <w:tcPr>
            <w:tcW w:w="9350" w:type="dxa"/>
            <w:gridSpan w:val="2"/>
          </w:tcPr>
          <w:p w:rsidR="00D52E39" w:rsidRPr="00D52E39" w:rsidRDefault="00D52E39" w:rsidP="00D52E39">
            <w:pPr>
              <w:tabs>
                <w:tab w:val="left" w:pos="840"/>
                <w:tab w:val="left" w:pos="841"/>
              </w:tabs>
              <w:rPr>
                <w:b/>
                <w:sz w:val="24"/>
              </w:rPr>
            </w:pPr>
            <w:r w:rsidRPr="00D52E39">
              <w:rPr>
                <w:b/>
                <w:sz w:val="24"/>
              </w:rPr>
              <w:t>An ILP</w:t>
            </w:r>
            <w:r w:rsidRPr="00D52E39">
              <w:rPr>
                <w:b/>
                <w:spacing w:val="-1"/>
                <w:sz w:val="24"/>
              </w:rPr>
              <w:t xml:space="preserve"> </w:t>
            </w:r>
            <w:r w:rsidRPr="00D52E39">
              <w:rPr>
                <w:b/>
                <w:sz w:val="24"/>
              </w:rPr>
              <w:t>must:</w:t>
            </w:r>
          </w:p>
          <w:p w:rsidR="00D52E39" w:rsidRDefault="00D52E39" w:rsidP="00D52E39">
            <w:pPr>
              <w:pStyle w:val="Heading1"/>
              <w:spacing w:before="1"/>
              <w:outlineLvl w:val="0"/>
            </w:pPr>
          </w:p>
        </w:tc>
      </w:tr>
      <w:tr w:rsidR="00D52E39" w:rsidTr="00D52E39">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16" w:line="252" w:lineRule="auto"/>
              <w:ind w:right="648"/>
              <w:rPr>
                <w:sz w:val="24"/>
              </w:rPr>
            </w:pPr>
            <w:r w:rsidRPr="00D52E39">
              <w:rPr>
                <w:sz w:val="24"/>
              </w:rPr>
              <w:t>include career development and awareness and specifically address Vocational Studies Academic Expectations 2.36-2.38 as established in Academic expectations,</w:t>
            </w:r>
            <w:r w:rsidRPr="00D52E39">
              <w:rPr>
                <w:color w:val="0462C1"/>
                <w:sz w:val="24"/>
              </w:rPr>
              <w:t xml:space="preserve"> </w:t>
            </w:r>
            <w:hyperlink r:id="rId9">
              <w:r w:rsidRPr="00D52E39">
                <w:rPr>
                  <w:color w:val="0462C1"/>
                  <w:sz w:val="24"/>
                  <w:u w:val="single" w:color="0462C1"/>
                </w:rPr>
                <w:t>703 KAR 4:060</w:t>
              </w:r>
            </w:hyperlink>
          </w:p>
          <w:p w:rsidR="00D52E39" w:rsidRDefault="00D52E39" w:rsidP="00D52E39">
            <w:pPr>
              <w:pStyle w:val="Heading1"/>
              <w:spacing w:before="1"/>
              <w:outlineLvl w:val="0"/>
            </w:pPr>
          </w:p>
        </w:tc>
      </w:tr>
      <w:tr w:rsidR="00D52E39" w:rsidTr="00D52E39">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6"/>
              <w:ind w:right="482"/>
              <w:rPr>
                <w:sz w:val="24"/>
              </w:rPr>
            </w:pPr>
            <w:r w:rsidRPr="00D52E39">
              <w:rPr>
                <w:sz w:val="24"/>
              </w:rPr>
              <w:t>be readily available to the student and parent and reviewed and approved at</w:t>
            </w:r>
            <w:r w:rsidRPr="00D52E39">
              <w:rPr>
                <w:spacing w:val="-9"/>
                <w:sz w:val="24"/>
              </w:rPr>
              <w:t xml:space="preserve"> </w:t>
            </w:r>
            <w:r w:rsidRPr="00D52E39">
              <w:rPr>
                <w:sz w:val="24"/>
              </w:rPr>
              <w:t>least annually by the student, parents, and school</w:t>
            </w:r>
            <w:r w:rsidRPr="00D52E39">
              <w:rPr>
                <w:spacing w:val="-11"/>
                <w:sz w:val="24"/>
              </w:rPr>
              <w:t xml:space="preserve"> </w:t>
            </w:r>
            <w:r w:rsidRPr="00D52E39">
              <w:rPr>
                <w:sz w:val="24"/>
              </w:rPr>
              <w:t>officials</w:t>
            </w:r>
          </w:p>
          <w:p w:rsidR="00D52E39" w:rsidRDefault="00D52E39" w:rsidP="00D52E39">
            <w:pPr>
              <w:pStyle w:val="Heading1"/>
              <w:spacing w:before="1"/>
              <w:outlineLvl w:val="0"/>
            </w:pPr>
          </w:p>
        </w:tc>
      </w:tr>
      <w:tr w:rsidR="00D52E39" w:rsidTr="00D52E39">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31" w:line="230" w:lineRule="auto"/>
              <w:ind w:right="1311"/>
              <w:rPr>
                <w:sz w:val="24"/>
              </w:rPr>
            </w:pPr>
            <w:r w:rsidRPr="00D52E39">
              <w:rPr>
                <w:sz w:val="24"/>
              </w:rPr>
              <w:t>set learning goals for the student based on academic and career</w:t>
            </w:r>
            <w:r w:rsidRPr="00D52E39">
              <w:rPr>
                <w:spacing w:val="-13"/>
                <w:sz w:val="24"/>
              </w:rPr>
              <w:t xml:space="preserve"> </w:t>
            </w:r>
            <w:r w:rsidRPr="00D52E39">
              <w:rPr>
                <w:sz w:val="24"/>
              </w:rPr>
              <w:t>interests (beginning with the student’s 8</w:t>
            </w:r>
            <w:proofErr w:type="spellStart"/>
            <w:r w:rsidRPr="00D52E39">
              <w:rPr>
                <w:position w:val="9"/>
                <w:sz w:val="16"/>
              </w:rPr>
              <w:t>th</w:t>
            </w:r>
            <w:proofErr w:type="spellEnd"/>
            <w:r w:rsidRPr="00D52E39">
              <w:rPr>
                <w:position w:val="9"/>
                <w:sz w:val="16"/>
              </w:rPr>
              <w:t xml:space="preserve"> </w:t>
            </w:r>
            <w:r w:rsidRPr="00D52E39">
              <w:rPr>
                <w:sz w:val="24"/>
              </w:rPr>
              <w:t>grade</w:t>
            </w:r>
            <w:r w:rsidRPr="00D52E39">
              <w:rPr>
                <w:spacing w:val="-23"/>
                <w:sz w:val="24"/>
              </w:rPr>
              <w:t xml:space="preserve"> </w:t>
            </w:r>
            <w:r w:rsidRPr="00D52E39">
              <w:rPr>
                <w:sz w:val="24"/>
              </w:rPr>
              <w:t>year)</w:t>
            </w:r>
          </w:p>
          <w:p w:rsidR="00D52E39" w:rsidRPr="00D52E39" w:rsidRDefault="00D52E39" w:rsidP="00D52E39">
            <w:pPr>
              <w:tabs>
                <w:tab w:val="left" w:pos="1561"/>
              </w:tabs>
              <w:spacing w:before="23"/>
              <w:ind w:right="641"/>
              <w:rPr>
                <w:sz w:val="24"/>
              </w:rPr>
            </w:pPr>
            <w:r w:rsidRPr="00D52E39">
              <w:rPr>
                <w:sz w:val="24"/>
              </w:rPr>
              <w:lastRenderedPageBreak/>
              <w:t>identify required academic courses, electives, and extracurricular opportunities aligned to the student’s postsecondary</w:t>
            </w:r>
            <w:r w:rsidRPr="00D52E39">
              <w:rPr>
                <w:spacing w:val="-5"/>
                <w:sz w:val="24"/>
              </w:rPr>
              <w:t xml:space="preserve"> </w:t>
            </w:r>
            <w:r w:rsidRPr="00D52E39">
              <w:rPr>
                <w:sz w:val="24"/>
              </w:rPr>
              <w:t>goals</w:t>
            </w:r>
          </w:p>
          <w:p w:rsidR="00D52E39" w:rsidRPr="00D52E39" w:rsidRDefault="00D52E39" w:rsidP="00D52E39">
            <w:pPr>
              <w:pStyle w:val="ListParagraph"/>
              <w:tabs>
                <w:tab w:val="left" w:pos="1561"/>
              </w:tabs>
              <w:spacing w:before="23"/>
              <w:ind w:right="641" w:firstLine="0"/>
              <w:rPr>
                <w:sz w:val="24"/>
              </w:rPr>
            </w:pPr>
          </w:p>
        </w:tc>
      </w:tr>
      <w:tr w:rsidR="00D52E39" w:rsidTr="00D52E39">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23"/>
              <w:rPr>
                <w:sz w:val="24"/>
              </w:rPr>
            </w:pPr>
            <w:r w:rsidRPr="00D52E39">
              <w:rPr>
                <w:sz w:val="24"/>
              </w:rPr>
              <w:t xml:space="preserve">begin </w:t>
            </w:r>
            <w:r w:rsidRPr="00D52E39">
              <w:rPr>
                <w:spacing w:val="1"/>
                <w:sz w:val="24"/>
              </w:rPr>
              <w:t xml:space="preserve">by </w:t>
            </w:r>
            <w:r w:rsidRPr="00D52E39">
              <w:rPr>
                <w:sz w:val="24"/>
              </w:rPr>
              <w:t>the end of the sixth grade</w:t>
            </w:r>
            <w:r w:rsidRPr="00D52E39">
              <w:rPr>
                <w:spacing w:val="-5"/>
                <w:sz w:val="24"/>
              </w:rPr>
              <w:t xml:space="preserve"> </w:t>
            </w:r>
            <w:r w:rsidRPr="00D52E39">
              <w:rPr>
                <w:sz w:val="24"/>
              </w:rPr>
              <w:t>year</w:t>
            </w:r>
          </w:p>
          <w:p w:rsidR="00D52E39" w:rsidRDefault="00D52E39" w:rsidP="00D52E39">
            <w:pPr>
              <w:pStyle w:val="Heading1"/>
              <w:spacing w:before="1"/>
              <w:outlineLvl w:val="0"/>
            </w:pPr>
          </w:p>
        </w:tc>
      </w:tr>
      <w:tr w:rsidR="00D52E39" w:rsidTr="00D52E39">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1" w:line="242" w:lineRule="auto"/>
              <w:ind w:right="839"/>
              <w:rPr>
                <w:sz w:val="24"/>
              </w:rPr>
            </w:pPr>
            <w:r w:rsidRPr="00D52E39">
              <w:rPr>
                <w:sz w:val="24"/>
              </w:rPr>
              <w:t>focus on career exploration and related postsecondary education and training needs</w:t>
            </w:r>
          </w:p>
          <w:p w:rsidR="00D52E39" w:rsidRDefault="00D52E39" w:rsidP="00D52E39">
            <w:pPr>
              <w:pStyle w:val="Heading1"/>
              <w:spacing w:before="1"/>
              <w:outlineLvl w:val="0"/>
            </w:pPr>
          </w:p>
        </w:tc>
      </w:tr>
      <w:tr w:rsidR="00D52E39" w:rsidTr="00D52E39">
        <w:tc>
          <w:tcPr>
            <w:tcW w:w="715" w:type="dxa"/>
          </w:tcPr>
          <w:p w:rsidR="00D52E39" w:rsidRDefault="00D52E39" w:rsidP="00D52E39">
            <w:pPr>
              <w:pStyle w:val="Heading1"/>
              <w:spacing w:before="1"/>
              <w:outlineLvl w:val="0"/>
            </w:pPr>
          </w:p>
        </w:tc>
        <w:tc>
          <w:tcPr>
            <w:tcW w:w="8635" w:type="dxa"/>
          </w:tcPr>
          <w:p w:rsidR="00D52E39" w:rsidRPr="00D52E39" w:rsidRDefault="00D52E39" w:rsidP="00D52E39">
            <w:pPr>
              <w:tabs>
                <w:tab w:val="left" w:pos="1561"/>
              </w:tabs>
              <w:spacing w:before="18"/>
              <w:rPr>
                <w:sz w:val="24"/>
              </w:rPr>
            </w:pPr>
            <w:r w:rsidRPr="00D52E39">
              <w:rPr>
                <w:sz w:val="24"/>
              </w:rPr>
              <w:t>include information about financial planning for postsecondary</w:t>
            </w:r>
            <w:r w:rsidRPr="00D52E39">
              <w:rPr>
                <w:spacing w:val="-10"/>
                <w:sz w:val="24"/>
              </w:rPr>
              <w:t xml:space="preserve"> </w:t>
            </w:r>
            <w:r w:rsidRPr="00D52E39">
              <w:rPr>
                <w:sz w:val="24"/>
              </w:rPr>
              <w:t>education</w:t>
            </w:r>
          </w:p>
          <w:p w:rsidR="00D52E39" w:rsidRDefault="00D52E39" w:rsidP="00D52E39">
            <w:pPr>
              <w:pStyle w:val="Heading1"/>
              <w:spacing w:before="1"/>
              <w:outlineLvl w:val="0"/>
            </w:pPr>
          </w:p>
        </w:tc>
      </w:tr>
      <w:tr w:rsidR="00D52E39" w:rsidTr="004F5FCB">
        <w:tc>
          <w:tcPr>
            <w:tcW w:w="9350" w:type="dxa"/>
            <w:gridSpan w:val="2"/>
          </w:tcPr>
          <w:p w:rsidR="00D52E39" w:rsidRDefault="00D52E39" w:rsidP="00D52E39">
            <w:pPr>
              <w:pStyle w:val="Heading1"/>
              <w:spacing w:line="274" w:lineRule="exact"/>
              <w:outlineLvl w:val="0"/>
            </w:pPr>
            <w:r>
              <w:t>Individual Learning Plan Addendum (ILPA):</w:t>
            </w:r>
          </w:p>
          <w:p w:rsidR="00D52E39" w:rsidRDefault="00D52E39" w:rsidP="00D52E39">
            <w:pPr>
              <w:pStyle w:val="BodyText"/>
              <w:ind w:left="120" w:right="323"/>
            </w:pPr>
            <w:r>
              <w:t xml:space="preserve">The ILPA is a different requirement from the advising program requirements stated in </w:t>
            </w:r>
            <w:hyperlink r:id="rId10">
              <w:r>
                <w:rPr>
                  <w:color w:val="0462C1"/>
                  <w:u w:val="single" w:color="0462C1"/>
                </w:rPr>
                <w:t>704 KAR</w:t>
              </w:r>
            </w:hyperlink>
            <w:r>
              <w:rPr>
                <w:color w:val="0462C1"/>
              </w:rPr>
              <w:t xml:space="preserve"> </w:t>
            </w:r>
            <w:hyperlink r:id="rId11">
              <w:r>
                <w:rPr>
                  <w:color w:val="0462C1"/>
                  <w:u w:val="single" w:color="0462C1"/>
                </w:rPr>
                <w:t>3:305</w:t>
              </w:r>
            </w:hyperlink>
            <w:r>
              <w:t xml:space="preserve">, and is used to support student transitions to and from alternative education programs. It is critical to note that the ILPA will continue to be required for every student enrolled in alternative programs per </w:t>
            </w:r>
            <w:hyperlink r:id="rId12">
              <w:r>
                <w:rPr>
                  <w:color w:val="0462C1"/>
                  <w:u w:val="single" w:color="0462C1"/>
                </w:rPr>
                <w:t>704 KAR: 19:002.</w:t>
              </w:r>
              <w:r>
                <w:rPr>
                  <w:color w:val="0462C1"/>
                </w:rPr>
                <w:t xml:space="preserve"> </w:t>
              </w:r>
            </w:hyperlink>
            <w:r>
              <w:t>As a reminder, the ILPA is an action plan that addresses the changed educational needs of a student based upon entry into or exit from an alternative education program that includes, as appropriate, academic and behavioral needs of the student, criteria for the student’s re-entry into the traditional program, and provisions for regular review of the student’s progress throughout the school year while in an alternative education program.</w:t>
            </w:r>
          </w:p>
          <w:p w:rsidR="00D52E39" w:rsidRDefault="00D52E39" w:rsidP="00D52E39">
            <w:pPr>
              <w:pStyle w:val="Heading1"/>
              <w:spacing w:before="1"/>
              <w:outlineLvl w:val="0"/>
            </w:pPr>
          </w:p>
        </w:tc>
      </w:tr>
    </w:tbl>
    <w:p w:rsidR="005E6550" w:rsidRDefault="0061580D"/>
    <w:sectPr w:rsidR="005E655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0D" w:rsidRDefault="0061580D" w:rsidP="000139A5">
      <w:pPr>
        <w:spacing w:after="0" w:line="240" w:lineRule="auto"/>
      </w:pPr>
      <w:r>
        <w:separator/>
      </w:r>
    </w:p>
  </w:endnote>
  <w:endnote w:type="continuationSeparator" w:id="0">
    <w:p w:rsidR="0061580D" w:rsidRDefault="0061580D" w:rsidP="0001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A5" w:rsidRDefault="00013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A5" w:rsidRDefault="00013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A5" w:rsidRDefault="00013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0D" w:rsidRDefault="0061580D" w:rsidP="000139A5">
      <w:pPr>
        <w:spacing w:after="0" w:line="240" w:lineRule="auto"/>
      </w:pPr>
      <w:r>
        <w:separator/>
      </w:r>
    </w:p>
  </w:footnote>
  <w:footnote w:type="continuationSeparator" w:id="0">
    <w:p w:rsidR="0061580D" w:rsidRDefault="0061580D" w:rsidP="00013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A5" w:rsidRDefault="00013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A5" w:rsidRDefault="000139A5" w:rsidP="000139A5">
    <w:pPr>
      <w:pStyle w:val="Header"/>
      <w:jc w:val="center"/>
    </w:pPr>
    <w:bookmarkStart w:id="0" w:name="_GoBack"/>
    <w:bookmarkEnd w:id="0"/>
    <w:r>
      <w:t>ILP Checklist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A5" w:rsidRDefault="00013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F4749"/>
    <w:multiLevelType w:val="hybridMultilevel"/>
    <w:tmpl w:val="FE18A380"/>
    <w:lvl w:ilvl="0" w:tplc="F306F684">
      <w:numFmt w:val="bullet"/>
      <w:lvlText w:val=""/>
      <w:lvlJc w:val="left"/>
      <w:pPr>
        <w:ind w:left="840" w:hanging="360"/>
      </w:pPr>
      <w:rPr>
        <w:rFonts w:ascii="Symbol" w:eastAsia="Symbol" w:hAnsi="Symbol" w:cs="Symbol" w:hint="default"/>
        <w:w w:val="100"/>
        <w:sz w:val="24"/>
        <w:szCs w:val="24"/>
        <w:lang w:val="en-US" w:eastAsia="en-US" w:bidi="en-US"/>
      </w:rPr>
    </w:lvl>
    <w:lvl w:ilvl="1" w:tplc="C874C20E">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1682E7BA">
      <w:numFmt w:val="bullet"/>
      <w:lvlText w:val=""/>
      <w:lvlJc w:val="left"/>
      <w:pPr>
        <w:ind w:left="2281" w:hanging="361"/>
      </w:pPr>
      <w:rPr>
        <w:rFonts w:ascii="Wingdings" w:eastAsia="Wingdings" w:hAnsi="Wingdings" w:cs="Wingdings" w:hint="default"/>
        <w:w w:val="100"/>
        <w:sz w:val="24"/>
        <w:szCs w:val="24"/>
        <w:lang w:val="en-US" w:eastAsia="en-US" w:bidi="en-US"/>
      </w:rPr>
    </w:lvl>
    <w:lvl w:ilvl="3" w:tplc="8A4053AC">
      <w:numFmt w:val="bullet"/>
      <w:lvlText w:val="•"/>
      <w:lvlJc w:val="left"/>
      <w:pPr>
        <w:ind w:left="3217" w:hanging="361"/>
      </w:pPr>
      <w:rPr>
        <w:rFonts w:hint="default"/>
        <w:lang w:val="en-US" w:eastAsia="en-US" w:bidi="en-US"/>
      </w:rPr>
    </w:lvl>
    <w:lvl w:ilvl="4" w:tplc="6CBCE826">
      <w:numFmt w:val="bullet"/>
      <w:lvlText w:val="•"/>
      <w:lvlJc w:val="left"/>
      <w:pPr>
        <w:ind w:left="4155" w:hanging="361"/>
      </w:pPr>
      <w:rPr>
        <w:rFonts w:hint="default"/>
        <w:lang w:val="en-US" w:eastAsia="en-US" w:bidi="en-US"/>
      </w:rPr>
    </w:lvl>
    <w:lvl w:ilvl="5" w:tplc="A978CEE0">
      <w:numFmt w:val="bullet"/>
      <w:lvlText w:val="•"/>
      <w:lvlJc w:val="left"/>
      <w:pPr>
        <w:ind w:left="5092" w:hanging="361"/>
      </w:pPr>
      <w:rPr>
        <w:rFonts w:hint="default"/>
        <w:lang w:val="en-US" w:eastAsia="en-US" w:bidi="en-US"/>
      </w:rPr>
    </w:lvl>
    <w:lvl w:ilvl="6" w:tplc="22B86E5E">
      <w:numFmt w:val="bullet"/>
      <w:lvlText w:val="•"/>
      <w:lvlJc w:val="left"/>
      <w:pPr>
        <w:ind w:left="6030" w:hanging="361"/>
      </w:pPr>
      <w:rPr>
        <w:rFonts w:hint="default"/>
        <w:lang w:val="en-US" w:eastAsia="en-US" w:bidi="en-US"/>
      </w:rPr>
    </w:lvl>
    <w:lvl w:ilvl="7" w:tplc="7742C15C">
      <w:numFmt w:val="bullet"/>
      <w:lvlText w:val="•"/>
      <w:lvlJc w:val="left"/>
      <w:pPr>
        <w:ind w:left="6967" w:hanging="361"/>
      </w:pPr>
      <w:rPr>
        <w:rFonts w:hint="default"/>
        <w:lang w:val="en-US" w:eastAsia="en-US" w:bidi="en-US"/>
      </w:rPr>
    </w:lvl>
    <w:lvl w:ilvl="8" w:tplc="9CEC8720">
      <w:numFmt w:val="bullet"/>
      <w:lvlText w:val="•"/>
      <w:lvlJc w:val="left"/>
      <w:pPr>
        <w:ind w:left="7905"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39"/>
    <w:rsid w:val="000139A5"/>
    <w:rsid w:val="001A4C28"/>
    <w:rsid w:val="0061580D"/>
    <w:rsid w:val="007E535D"/>
    <w:rsid w:val="00BE5291"/>
    <w:rsid w:val="00D5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9B7C-289D-40CE-BF64-3044C619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52E39"/>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2E3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52E39"/>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D52E39"/>
    <w:pPr>
      <w:widowControl w:val="0"/>
      <w:autoSpaceDE w:val="0"/>
      <w:autoSpaceDN w:val="0"/>
      <w:spacing w:after="0" w:line="240" w:lineRule="auto"/>
      <w:ind w:left="1560" w:hanging="360"/>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D52E39"/>
    <w:rPr>
      <w:rFonts w:ascii="Times New Roman" w:eastAsia="Times New Roman" w:hAnsi="Times New Roman" w:cs="Times New Roman"/>
      <w:b/>
      <w:bCs/>
      <w:sz w:val="24"/>
      <w:szCs w:val="24"/>
      <w:lang w:bidi="en-US"/>
    </w:rPr>
  </w:style>
  <w:style w:type="paragraph" w:styleId="Header">
    <w:name w:val="header"/>
    <w:basedOn w:val="Normal"/>
    <w:link w:val="HeaderChar"/>
    <w:uiPriority w:val="99"/>
    <w:unhideWhenUsed/>
    <w:rsid w:val="00013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9A5"/>
  </w:style>
  <w:style w:type="paragraph" w:styleId="Footer">
    <w:name w:val="footer"/>
    <w:basedOn w:val="Normal"/>
    <w:link w:val="FooterChar"/>
    <w:uiPriority w:val="99"/>
    <w:unhideWhenUsed/>
    <w:rsid w:val="00013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ky.gov/kar/704/003/305.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rc.ky.gov/kar/704/019/002.htm" TargetMode="External"/><Relationship Id="rId12" Type="http://schemas.openxmlformats.org/officeDocument/2006/relationships/hyperlink" Target="http://www.lrc.ky.gov/kar/704/019/002.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rc.ky.gov/kar/704/003/305.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rc.ky.gov/kar/704/003/305.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rc.ky.gov/kar/703/004/060.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Hatfield, Diane</dc:creator>
  <cp:keywords/>
  <dc:description/>
  <cp:lastModifiedBy>Hatfield, Diane</cp:lastModifiedBy>
  <cp:revision>2</cp:revision>
  <dcterms:created xsi:type="dcterms:W3CDTF">2018-06-14T17:57:00Z</dcterms:created>
  <dcterms:modified xsi:type="dcterms:W3CDTF">2018-06-14T17:57:00Z</dcterms:modified>
</cp:coreProperties>
</file>