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 на підставі постанови Кабінету Міністрів України від 11.10.2016 №710 «Про ефективне використання державних коштів»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bCs/>
          <w:sz w:val="24"/>
          <w:szCs w:val="24"/>
        </w:rPr>
        <w:t>ДК 021:2015: 90460000-9 – послуги зі спорожнення вигрібних ям і септиків</w:t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Замовник</w:t>
      </w:r>
      <w:r>
        <w:rPr>
          <w:rFonts w:ascii="Times New Roman" w:hAnsi="Times New Roman" w:cs="Times New Roman"/>
          <w:sz w:val="24"/>
          <w:szCs w:val="24"/>
        </w:rPr>
        <w:t xml:space="preserve">: Берестечківський психоневрологічний інтернат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Код за ЄДРПОУ</w:t>
      </w:r>
      <w:r>
        <w:rPr>
          <w:rFonts w:ascii="Times New Roman" w:hAnsi="Times New Roman" w:cs="Times New Roman"/>
          <w:sz w:val="24"/>
          <w:szCs w:val="24"/>
        </w:rPr>
        <w:t>: 03188180</w:t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Найменування предмета закупівлі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eastAsia="Times New Roman" w:cs="Times New Roman"/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за ДК 021:2015:</w:t>
      </w:r>
      <w: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90460000-9 – послуги зі спорожнення вигрібних ям і септиків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Ідентифікатор  закупівлі: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UA-202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uk-UA"/>
        </w:rPr>
        <w:t>4-06-03</w:t>
      </w:r>
      <w:r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uk-UA"/>
        </w:rPr>
        <w:t>008142</w:t>
      </w:r>
      <w:r>
        <w:rPr>
          <w:rFonts w:ascii="Times New Roman" w:hAnsi="Times New Roman" w:cs="Times New Roman"/>
          <w:b/>
          <w:bCs/>
          <w:sz w:val="24"/>
          <w:szCs w:val="24"/>
        </w:rPr>
        <w:t>-а.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Очікувана вартість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hint="default" w:ascii="Times New Roman" w:hAnsi="Times New Roman" w:cs="Times New Roman"/>
          <w:b/>
          <w:sz w:val="24"/>
          <w:szCs w:val="24"/>
          <w:lang w:val="uk-UA"/>
        </w:rPr>
        <w:t>87360</w:t>
      </w:r>
      <w:r>
        <w:rPr>
          <w:rFonts w:ascii="Times New Roman" w:hAnsi="Times New Roman" w:cs="Times New Roman"/>
          <w:b/>
          <w:sz w:val="24"/>
          <w:szCs w:val="24"/>
        </w:rPr>
        <w:t>.00 грн.</w:t>
      </w:r>
    </w:p>
    <w:p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Кількість послуги :  </w:t>
      </w:r>
      <w:r>
        <w:rPr>
          <w:rFonts w:hint="default" w:ascii="Times New Roman" w:hAnsi="Times New Roman" w:cs="Times New Roman"/>
          <w:b/>
          <w:sz w:val="24"/>
          <w:szCs w:val="24"/>
          <w:lang w:val="uk-UA"/>
        </w:rPr>
        <w:t>374.4</w:t>
      </w:r>
      <w:r>
        <w:rPr>
          <w:rFonts w:ascii="Times New Roman" w:hAnsi="Times New Roman" w:cs="Times New Roman"/>
          <w:b/>
          <w:sz w:val="24"/>
          <w:szCs w:val="24"/>
        </w:rPr>
        <w:t xml:space="preserve"> м.куб.</w:t>
      </w:r>
    </w:p>
    <w:p>
      <w:pPr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zh-CN"/>
        </w:rPr>
        <w:t>Інформація</w:t>
      </w:r>
    </w:p>
    <w:p>
      <w:pPr>
        <w:spacing w:after="0" w:line="276" w:lineRule="auto"/>
        <w:jc w:val="center"/>
        <w:rPr>
          <w:rFonts w:ascii="Times New Roman" w:hAnsi="Times New Roman" w:eastAsia="Calibri" w:cs="Times New Roman"/>
          <w:b/>
          <w:sz w:val="24"/>
          <w:szCs w:val="24"/>
          <w:lang w:eastAsia="zh-CN"/>
        </w:rPr>
      </w:pPr>
      <w:r>
        <w:rPr>
          <w:rFonts w:ascii="Times New Roman" w:hAnsi="Times New Roman" w:eastAsia="Calibri" w:cs="Times New Roman"/>
          <w:b/>
          <w:sz w:val="24"/>
          <w:szCs w:val="24"/>
          <w:lang w:eastAsia="zh-CN"/>
        </w:rPr>
        <w:t xml:space="preserve">про необхідні технічні, якісні та кількісні характеристики предмета закупівлі </w:t>
      </w:r>
    </w:p>
    <w:p>
      <w:pPr>
        <w:pStyle w:val="6"/>
        <w:spacing w:after="22" w:line="275" w:lineRule="exact"/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Т</w:t>
      </w:r>
      <w:r>
        <w:rPr>
          <w:sz w:val="28"/>
          <w:szCs w:val="28"/>
        </w:rPr>
        <w:t>ЕХНІЧНА СПЕЦИФІКАЦІЯ</w:t>
      </w:r>
    </w:p>
    <w:p>
      <w:pPr>
        <w:pStyle w:val="6"/>
        <w:spacing w:after="22" w:line="275" w:lineRule="exact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закупівлю послуги:</w:t>
      </w:r>
    </w:p>
    <w:p>
      <w:pPr>
        <w:jc w:val="center"/>
        <w:rPr>
          <w:bCs/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 xml:space="preserve">Послуги з очищення систем каналізації (каналізаційних колодязів) </w:t>
      </w:r>
    </w:p>
    <w:p>
      <w:pPr>
        <w:jc w:val="center"/>
        <w:rPr>
          <w:bCs/>
          <w:sz w:val="24"/>
          <w:szCs w:val="24"/>
          <w:shd w:val="clear" w:color="auto" w:fill="FFFFFF"/>
        </w:rPr>
      </w:pPr>
      <w:r>
        <w:rPr>
          <w:sz w:val="24"/>
          <w:szCs w:val="24"/>
        </w:rPr>
        <w:t xml:space="preserve">ДК 021:2015:90460000-9-послуги зі спорожнення вигрібних ям та септиків </w:t>
      </w:r>
    </w:p>
    <w:p>
      <w:pPr>
        <w:pStyle w:val="6"/>
        <w:spacing w:after="22" w:line="275" w:lineRule="exact"/>
        <w:jc w:val="center"/>
        <w:rPr>
          <w:b w:val="0"/>
          <w:sz w:val="24"/>
          <w:szCs w:val="24"/>
        </w:rPr>
      </w:pPr>
    </w:p>
    <w:p>
      <w:pPr>
        <w:numPr>
          <w:ilvl w:val="0"/>
          <w:numId w:val="1"/>
        </w:numPr>
        <w:tabs>
          <w:tab w:val="left" w:pos="567"/>
          <w:tab w:val="left" w:pos="709"/>
          <w:tab w:val="left" w:pos="851"/>
          <w:tab w:val="left" w:pos="2203"/>
          <w:tab w:val="left" w:pos="7371"/>
        </w:tabs>
        <w:autoSpaceDN w:val="0"/>
        <w:ind w:left="0" w:firstLine="426"/>
        <w:rPr>
          <w:b/>
          <w:sz w:val="24"/>
          <w:szCs w:val="24"/>
        </w:rPr>
      </w:pPr>
      <w:r>
        <w:rPr>
          <w:b/>
          <w:sz w:val="24"/>
          <w:szCs w:val="24"/>
        </w:rPr>
        <w:t>Технічна частина:</w:t>
      </w:r>
    </w:p>
    <w:p>
      <w:pPr>
        <w:numPr>
          <w:ilvl w:val="1"/>
          <w:numId w:val="1"/>
        </w:numPr>
        <w:tabs>
          <w:tab w:val="left" w:pos="567"/>
          <w:tab w:val="left" w:pos="709"/>
          <w:tab w:val="left" w:pos="851"/>
          <w:tab w:val="left" w:pos="1250"/>
          <w:tab w:val="left" w:pos="7371"/>
        </w:tabs>
        <w:autoSpaceDN w:val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Назва об’єкта на якому будуть здійснюватись послуги: </w:t>
      </w:r>
      <w:r>
        <w:rPr>
          <w:sz w:val="24"/>
          <w:szCs w:val="24"/>
          <w:lang w:val="uk-UA"/>
        </w:rPr>
        <w:t>Берестечківський</w:t>
      </w:r>
      <w:r>
        <w:rPr>
          <w:rFonts w:hint="default"/>
          <w:sz w:val="24"/>
          <w:szCs w:val="24"/>
          <w:lang w:val="uk-UA"/>
        </w:rPr>
        <w:t xml:space="preserve"> психоневрологічний  інтернат.</w:t>
      </w:r>
    </w:p>
    <w:p>
      <w:pPr>
        <w:numPr>
          <w:ilvl w:val="1"/>
          <w:numId w:val="1"/>
        </w:numPr>
        <w:tabs>
          <w:tab w:val="left" w:pos="567"/>
          <w:tab w:val="left" w:pos="709"/>
          <w:tab w:val="left" w:pos="851"/>
          <w:tab w:val="left" w:pos="1250"/>
          <w:tab w:val="left" w:pos="7371"/>
        </w:tabs>
        <w:autoSpaceDN w:val="0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Місцезнаходження: Волинська обл., </w:t>
      </w:r>
      <w:r>
        <w:rPr>
          <w:sz w:val="24"/>
          <w:szCs w:val="24"/>
          <w:lang w:val="uk-UA"/>
        </w:rPr>
        <w:t>м</w:t>
      </w:r>
      <w:r>
        <w:rPr>
          <w:rFonts w:hint="default"/>
          <w:sz w:val="24"/>
          <w:szCs w:val="24"/>
          <w:lang w:val="uk-UA"/>
        </w:rPr>
        <w:t>.Берестечко, вул. Паркова , 21</w:t>
      </w:r>
    </w:p>
    <w:p>
      <w:pPr>
        <w:jc w:val="center"/>
        <w:rPr>
          <w:bCs/>
          <w:sz w:val="24"/>
          <w:szCs w:val="24"/>
          <w:shd w:val="clear" w:color="auto" w:fill="FFFFFF"/>
        </w:rPr>
      </w:pPr>
      <w:r>
        <w:rPr>
          <w:b/>
          <w:bCs/>
          <w:sz w:val="24"/>
          <w:szCs w:val="24"/>
        </w:rPr>
        <w:t xml:space="preserve">2.Мета надання послуг: </w:t>
      </w:r>
      <w:r>
        <w:rPr>
          <w:sz w:val="24"/>
          <w:szCs w:val="24"/>
          <w:shd w:val="clear" w:color="auto" w:fill="FFFFFF"/>
        </w:rPr>
        <w:t xml:space="preserve">очищення систем каналізації (каналізаційних колодязів) </w:t>
      </w:r>
    </w:p>
    <w:p>
      <w:pPr>
        <w:tabs>
          <w:tab w:val="left" w:pos="567"/>
          <w:tab w:val="left" w:pos="709"/>
          <w:tab w:val="left" w:pos="851"/>
          <w:tab w:val="left" w:pos="2203"/>
        </w:tabs>
        <w:autoSpaceDN w:val="0"/>
        <w:rPr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 xml:space="preserve">        3. </w:t>
      </w:r>
      <w:r>
        <w:rPr>
          <w:b/>
          <w:sz w:val="24"/>
          <w:szCs w:val="24"/>
        </w:rPr>
        <w:t xml:space="preserve">Обсяг надання послуг: </w:t>
      </w:r>
    </w:p>
    <w:tbl>
      <w:tblPr>
        <w:tblStyle w:val="4"/>
        <w:tblW w:w="8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609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з/п</w:t>
            </w: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Послуга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Кількість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ind w:left="-2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0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shd w:val="clear" w:color="auto" w:fill="FFFFFF"/>
              </w:rPr>
              <w:t xml:space="preserve">Послуги з очищення систем каналізації (каналізаційних колодязів) 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uk-UA"/>
              </w:rPr>
              <w:t xml:space="preserve">374,4 </w:t>
            </w:r>
            <w:r>
              <w:rPr>
                <w:sz w:val="24"/>
                <w:szCs w:val="24"/>
              </w:rPr>
              <w:t>м. куб.</w:t>
            </w:r>
          </w:p>
        </w:tc>
      </w:tr>
    </w:tbl>
    <w:p>
      <w:pPr>
        <w:tabs>
          <w:tab w:val="left" w:pos="567"/>
          <w:tab w:val="left" w:pos="7371"/>
        </w:tabs>
        <w:rPr>
          <w:i/>
          <w:sz w:val="24"/>
          <w:szCs w:val="24"/>
        </w:rPr>
      </w:pPr>
    </w:p>
    <w:p>
      <w:pPr>
        <w:tabs>
          <w:tab w:val="left" w:pos="567"/>
          <w:tab w:val="left" w:pos="7371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4. Термін </w:t>
      </w:r>
      <w:r>
        <w:rPr>
          <w:b/>
          <w:sz w:val="24"/>
          <w:szCs w:val="24"/>
          <w:lang w:val="uk-UA"/>
        </w:rPr>
        <w:t>надання</w:t>
      </w:r>
      <w:r>
        <w:rPr>
          <w:rFonts w:hint="default"/>
          <w:b/>
          <w:sz w:val="24"/>
          <w:szCs w:val="24"/>
          <w:lang w:val="uk-UA"/>
        </w:rPr>
        <w:t xml:space="preserve"> послуг</w:t>
      </w:r>
      <w:r>
        <w:rPr>
          <w:b/>
          <w:sz w:val="24"/>
          <w:szCs w:val="24"/>
        </w:rPr>
        <w:t xml:space="preserve">: </w:t>
      </w:r>
      <w:r>
        <w:rPr>
          <w:b/>
          <w:spacing w:val="-1"/>
          <w:sz w:val="24"/>
          <w:szCs w:val="24"/>
        </w:rPr>
        <w:t>до 31.12.2024 року</w:t>
      </w:r>
    </w:p>
    <w:p>
      <w:pPr>
        <w:tabs>
          <w:tab w:val="left" w:pos="567"/>
          <w:tab w:val="left" w:pos="7371"/>
        </w:tabs>
        <w:rPr>
          <w:b/>
          <w:sz w:val="24"/>
          <w:szCs w:val="24"/>
          <w:u w:val="single"/>
        </w:rPr>
      </w:pPr>
      <w:r>
        <w:rPr>
          <w:b/>
          <w:sz w:val="24"/>
          <w:szCs w:val="24"/>
        </w:rPr>
        <w:t xml:space="preserve">         </w:t>
      </w:r>
      <w:r>
        <w:rPr>
          <w:b/>
          <w:sz w:val="24"/>
          <w:szCs w:val="24"/>
          <w:u w:val="single"/>
        </w:rPr>
        <w:t>5. Додаткові вимоги до учасника:</w:t>
      </w:r>
    </w:p>
    <w:p>
      <w:pPr>
        <w:tabs>
          <w:tab w:val="left" w:pos="567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</w:p>
    <w:p>
      <w:pPr>
        <w:tabs>
          <w:tab w:val="left" w:pos="709"/>
          <w:tab w:val="left" w:pos="7371"/>
        </w:tabs>
        <w:ind w:firstLine="426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Виконавець повинен надати Замовнику послуги, якість яких відповідає вимогам, </w:t>
      </w:r>
      <w:r>
        <w:rPr>
          <w:color w:val="000000"/>
          <w:sz w:val="24"/>
          <w:szCs w:val="24"/>
        </w:rPr>
        <w:t>«Правил технічної експлуатації систем водопостачання та водовідведення населених пунктів України», затверджених наказом Державного комітету України по житлово-комунальному господарству від 5 липня 1995 року № 30, «Правил користування системами централізованого комунального водопостачання та водовідведення в населених пунктах України», затверджених  наказом Міністерства з питань житлово-комунального господарства України від 27.06.2008 року №190, та інших діючих в Україні нормативних документів.</w:t>
      </w:r>
    </w:p>
    <w:p>
      <w:pPr>
        <w:tabs>
          <w:tab w:val="left" w:pos="567"/>
          <w:tab w:val="left" w:pos="993"/>
        </w:tabs>
        <w:autoSpaceDE w:val="0"/>
        <w:autoSpaceDN w:val="0"/>
        <w:adjustRightInd w:val="0"/>
        <w:ind w:firstLine="426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Технічні, якісні характеристики предмета закупівлі повинні передбачати необхідність застосування заходів із захисту довкілля та клімату.</w:t>
      </w:r>
    </w:p>
    <w:p>
      <w:pPr>
        <w:widowControl w:val="0"/>
        <w:suppressAutoHyphens/>
        <w:snapToGri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</w:p>
    <w:p>
      <w:pPr>
        <w:suppressAutoHyphens/>
        <w:spacing w:after="0" w:line="240" w:lineRule="auto"/>
        <w:ind w:firstLine="540"/>
        <w:rPr>
          <w:rFonts w:ascii="Times New Roman" w:hAnsi="Times New Roman" w:eastAsia="Times New Roman" w:cs="Times New Roman"/>
          <w:kern w:val="2"/>
          <w:sz w:val="24"/>
          <w:szCs w:val="24"/>
          <w:lang w:eastAsia="uk-UA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zh-CN"/>
        </w:rPr>
        <w:t>Адреси надання послуг: 45765, Волинська обл., м.Берестечко, вул. Паркова, 21.</w:t>
      </w:r>
      <w:bookmarkStart w:id="0" w:name="_GoBack"/>
      <w:bookmarkEnd w:id="0"/>
    </w:p>
    <w:p>
      <w:pPr>
        <w:widowControl w:val="0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uk-UA"/>
        </w:rPr>
      </w:pPr>
    </w:p>
    <w:p>
      <w:pPr>
        <w:widowControl w:val="0"/>
        <w:suppressAutoHyphens/>
        <w:snapToGrid w:val="0"/>
        <w:spacing w:after="0" w:line="240" w:lineRule="auto"/>
        <w:jc w:val="center"/>
        <w:rPr>
          <w:rFonts w:ascii="Times New Roman" w:hAnsi="Times New Roman" w:eastAsia="Times New Roman" w:cs="Times New Roman"/>
          <w:b/>
          <w:sz w:val="24"/>
          <w:szCs w:val="24"/>
          <w:lang w:eastAsia="zh-CN"/>
        </w:rPr>
      </w:pP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Обґрунтування розміру бюджетного призначення: </w:t>
      </w:r>
      <w:r>
        <w:rPr>
          <w:rFonts w:ascii="Times New Roman" w:hAnsi="Times New Roman" w:cs="Times New Roman"/>
          <w:sz w:val="24"/>
          <w:szCs w:val="24"/>
        </w:rPr>
        <w:t>Кошти місцевого бюджету. Відповідно до статті 4 Закону планування закупівель здійснюється на підставі наявної потреби у закупівлі товарів, робіт і послуг. Заплановані закупівлі включаються до річного плану закупівель. Закупівля проводиться відповідно до річного плану на потребу 2024 року. Взяття бюджетних зобов’язань за договором буде здійснюватися в межах бюджетних асигнувань, затверджених кошторисом на 2024 рік по установі.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Обґрунтування очікуваної вартості предмету закупівлі:</w:t>
      </w:r>
      <w:r>
        <w:rPr>
          <w:rFonts w:ascii="Times New Roman" w:hAnsi="Times New Roman" w:cs="Times New Roman"/>
          <w:sz w:val="24"/>
          <w:szCs w:val="24"/>
        </w:rPr>
        <w:t xml:space="preserve"> При визначені очікуваної вартості застосовувався метод моніторингу (порівняння) ринкових цін  з використанням загальнодоступної відкритої інформації про ціни , в тому числі даних офіційних статистичних видань, електронних каталогів спеціалізованих торгівельних майданчиків, системи закупівель «Prozorro» (як на момент складання бюджетних запитів так і на момент оголошення процедури) шляхом отримання інформації через мережу internet  у відкритому доступі на сайтах постачальників, в електронній системі закупівель “ProZorro” щодо аналогічних закупівель.</w:t>
      </w:r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 використання товару</w:t>
      </w:r>
      <w:r>
        <w:rPr>
          <w:rFonts w:ascii="Times New Roman" w:hAnsi="Times New Roman" w:cs="Times New Roman"/>
          <w:sz w:val="24"/>
          <w:szCs w:val="24"/>
        </w:rPr>
        <w:t xml:space="preserve"> :    Потреба у закупівлі зумовлена необхідністю забезпечення вимог законодавства в галузі охорони навколишнього природного середовища .</w:t>
      </w:r>
    </w:p>
    <w:p/>
    <w:sectPr>
      <w:pgSz w:w="11906" w:h="16838"/>
      <w:pgMar w:top="850" w:right="850" w:bottom="850" w:left="141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Liberation Serif">
    <w:altName w:val="Cambria"/>
    <w:panose1 w:val="00000000000000000000"/>
    <w:charset w:val="CC"/>
    <w:family w:val="roman"/>
    <w:pitch w:val="default"/>
    <w:sig w:usb0="00000000" w:usb1="00000000" w:usb2="00000021" w:usb3="00000000" w:csb0="000001B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CC"/>
    <w:family w:val="roman"/>
    <w:pitch w:val="default"/>
    <w:sig w:usb0="00000000" w:usb1="00000000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73F2A"/>
    <w:multiLevelType w:val="multilevel"/>
    <w:tmpl w:val="00573F2A"/>
    <w:lvl w:ilvl="0" w:tentative="0">
      <w:start w:val="1"/>
      <w:numFmt w:val="decimal"/>
      <w:lvlText w:val="%1."/>
      <w:lvlJc w:val="left"/>
      <w:pPr>
        <w:tabs>
          <w:tab w:val="left" w:pos="1440"/>
        </w:tabs>
        <w:ind w:left="1440" w:hanging="360"/>
      </w:pPr>
      <w:rPr>
        <w:rFonts w:hint="default"/>
        <w:b/>
      </w:rPr>
    </w:lvl>
    <w:lvl w:ilvl="1" w:tentative="0">
      <w:start w:val="1"/>
      <w:numFmt w:val="decimal"/>
      <w:isLgl/>
      <w:lvlText w:val="%1.%2"/>
      <w:lvlJc w:val="left"/>
      <w:pPr>
        <w:tabs>
          <w:tab w:val="left" w:pos="682"/>
        </w:tabs>
        <w:ind w:left="682" w:hanging="540"/>
      </w:pPr>
      <w:rPr>
        <w:rFonts w:hint="default"/>
        <w:b w:val="0"/>
        <w:color w:val="auto"/>
      </w:rPr>
    </w:lvl>
    <w:lvl w:ilvl="2" w:tentative="0">
      <w:start w:val="1"/>
      <w:numFmt w:val="decimal"/>
      <w:isLgl/>
      <w:lvlText w:val="%1.%2.%3"/>
      <w:lvlJc w:val="left"/>
      <w:pPr>
        <w:tabs>
          <w:tab w:val="left" w:pos="2400"/>
        </w:tabs>
        <w:ind w:left="2400" w:hanging="720"/>
      </w:pPr>
      <w:rPr>
        <w:rFonts w:hint="default"/>
      </w:rPr>
    </w:lvl>
    <w:lvl w:ilvl="3" w:tentative="0">
      <w:start w:val="1"/>
      <w:numFmt w:val="decimal"/>
      <w:isLgl/>
      <w:lvlText w:val="%1.%2.%3.%4"/>
      <w:lvlJc w:val="left"/>
      <w:pPr>
        <w:tabs>
          <w:tab w:val="left" w:pos="2700"/>
        </w:tabs>
        <w:ind w:left="2700" w:hanging="720"/>
      </w:pPr>
      <w:rPr>
        <w:rFonts w:hint="default"/>
      </w:rPr>
    </w:lvl>
    <w:lvl w:ilvl="4" w:tentative="0">
      <w:start w:val="1"/>
      <w:numFmt w:val="decimal"/>
      <w:isLgl/>
      <w:lvlText w:val="%1.%2.%3.%4.%5"/>
      <w:lvlJc w:val="left"/>
      <w:pPr>
        <w:tabs>
          <w:tab w:val="left" w:pos="3360"/>
        </w:tabs>
        <w:ind w:left="3360" w:hanging="1080"/>
      </w:pPr>
      <w:rPr>
        <w:rFonts w:hint="default"/>
      </w:rPr>
    </w:lvl>
    <w:lvl w:ilvl="5" w:tentative="0">
      <w:start w:val="1"/>
      <w:numFmt w:val="decimal"/>
      <w:isLgl/>
      <w:lvlText w:val="%1.%2.%3.%4.%5.%6"/>
      <w:lvlJc w:val="left"/>
      <w:pPr>
        <w:tabs>
          <w:tab w:val="left" w:pos="3660"/>
        </w:tabs>
        <w:ind w:left="3660" w:hanging="1080"/>
      </w:pPr>
      <w:rPr>
        <w:rFonts w:hint="default"/>
      </w:rPr>
    </w:lvl>
    <w:lvl w:ilvl="6" w:tentative="0">
      <w:start w:val="1"/>
      <w:numFmt w:val="decimal"/>
      <w:isLgl/>
      <w:lvlText w:val="%1.%2.%3.%4.%5.%6.%7"/>
      <w:lvlJc w:val="left"/>
      <w:pPr>
        <w:tabs>
          <w:tab w:val="left" w:pos="4320"/>
        </w:tabs>
        <w:ind w:left="432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"/>
      <w:lvlJc w:val="left"/>
      <w:pPr>
        <w:tabs>
          <w:tab w:val="left" w:pos="4620"/>
        </w:tabs>
        <w:ind w:left="462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"/>
      <w:lvlJc w:val="left"/>
      <w:pPr>
        <w:tabs>
          <w:tab w:val="left" w:pos="5280"/>
        </w:tabs>
        <w:ind w:left="5280" w:hanging="180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5DB3"/>
    <w:rsid w:val="000B43A6"/>
    <w:rsid w:val="00122D59"/>
    <w:rsid w:val="001A5DB3"/>
    <w:rsid w:val="001C5EB6"/>
    <w:rsid w:val="0036668F"/>
    <w:rsid w:val="00373339"/>
    <w:rsid w:val="004535C9"/>
    <w:rsid w:val="00490561"/>
    <w:rsid w:val="0066512A"/>
    <w:rsid w:val="00742A63"/>
    <w:rsid w:val="008B5B2D"/>
    <w:rsid w:val="009751FC"/>
    <w:rsid w:val="00A45741"/>
    <w:rsid w:val="00CF776E"/>
    <w:rsid w:val="00E50672"/>
    <w:rsid w:val="00E62C6E"/>
    <w:rsid w:val="00E66068"/>
    <w:rsid w:val="302B4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semiHidden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uk-UA" w:eastAsia="en-US" w:bidi="ar-SA"/>
    </w:rPr>
  </w:style>
  <w:style w:type="paragraph" w:styleId="2">
    <w:name w:val="heading 1"/>
    <w:basedOn w:val="1"/>
    <w:next w:val="1"/>
    <w:link w:val="27"/>
    <w:qFormat/>
    <w:uiPriority w:val="9"/>
    <w:pPr>
      <w:keepNext/>
      <w:keepLines/>
      <w:spacing w:before="240" w:after="0"/>
      <w:outlineLvl w:val="0"/>
    </w:pPr>
    <w:rPr>
      <w:rFonts w:ascii="Calibri Light" w:hAnsi="Calibri Light" w:eastAsia="Times New Roman" w:cs="Times New Roman"/>
      <w:color w:val="2F5496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23"/>
    <w:unhideWhenUsed/>
    <w:uiPriority w:val="0"/>
    <w:pPr>
      <w:spacing w:after="0" w:line="240" w:lineRule="auto"/>
    </w:pPr>
    <w:rPr>
      <w:rFonts w:ascii="Segoe UI" w:hAnsi="Segoe UI" w:eastAsia="Calibri" w:cs="Segoe UI"/>
      <w:sz w:val="18"/>
      <w:szCs w:val="18"/>
      <w:lang w:val="ru-RU"/>
    </w:rPr>
  </w:style>
  <w:style w:type="paragraph" w:styleId="6">
    <w:name w:val="Body Text"/>
    <w:basedOn w:val="1"/>
    <w:semiHidden/>
    <w:unhideWhenUsed/>
    <w:qFormat/>
    <w:uiPriority w:val="99"/>
    <w:pPr>
      <w:widowControl w:val="0"/>
      <w:autoSpaceDE w:val="0"/>
      <w:autoSpaceDN w:val="0"/>
    </w:pPr>
    <w:rPr>
      <w:b/>
      <w:bCs/>
      <w:lang w:eastAsia="en-US"/>
    </w:rPr>
  </w:style>
  <w:style w:type="character" w:styleId="7">
    <w:name w:val="annotation reference"/>
    <w:semiHidden/>
    <w:unhideWhenUsed/>
    <w:uiPriority w:val="99"/>
    <w:rPr>
      <w:sz w:val="16"/>
      <w:szCs w:val="16"/>
    </w:rPr>
  </w:style>
  <w:style w:type="paragraph" w:styleId="8">
    <w:name w:val="annotation text"/>
    <w:basedOn w:val="1"/>
    <w:link w:val="24"/>
    <w:semiHidden/>
    <w:unhideWhenUsed/>
    <w:uiPriority w:val="99"/>
    <w:pPr>
      <w:spacing w:line="240" w:lineRule="auto"/>
    </w:pPr>
    <w:rPr>
      <w:rFonts w:ascii="Calibri" w:hAnsi="Calibri" w:eastAsia="Calibri" w:cs="Times New Roman"/>
      <w:sz w:val="20"/>
      <w:szCs w:val="20"/>
      <w:lang w:val="ru-RU"/>
    </w:rPr>
  </w:style>
  <w:style w:type="paragraph" w:styleId="9">
    <w:name w:val="annotation subject"/>
    <w:basedOn w:val="8"/>
    <w:next w:val="8"/>
    <w:link w:val="25"/>
    <w:semiHidden/>
    <w:unhideWhenUsed/>
    <w:qFormat/>
    <w:uiPriority w:val="99"/>
    <w:rPr>
      <w:b/>
      <w:bCs/>
    </w:rPr>
  </w:style>
  <w:style w:type="paragraph" w:styleId="10">
    <w:name w:val="Document Map"/>
    <w:basedOn w:val="1"/>
    <w:link w:val="36"/>
    <w:semiHidden/>
    <w:uiPriority w:val="0"/>
    <w:pPr>
      <w:shd w:val="clear" w:color="auto" w:fill="000080"/>
      <w:spacing w:after="0" w:line="240" w:lineRule="auto"/>
    </w:pPr>
    <w:rPr>
      <w:rFonts w:ascii="Tahoma" w:hAnsi="Tahoma" w:eastAsia="Times New Roman" w:cs="Tahoma"/>
      <w:sz w:val="20"/>
      <w:szCs w:val="20"/>
      <w:lang w:val="ru-RU" w:eastAsia="ru-RU"/>
    </w:rPr>
  </w:style>
  <w:style w:type="character" w:styleId="11">
    <w:name w:val="Emphasis"/>
    <w:qFormat/>
    <w:uiPriority w:val="20"/>
    <w:rPr>
      <w:i/>
      <w:iCs/>
    </w:rPr>
  </w:style>
  <w:style w:type="character" w:styleId="12">
    <w:name w:val="Hyperlink"/>
    <w:unhideWhenUsed/>
    <w:qFormat/>
    <w:uiPriority w:val="99"/>
    <w:rPr>
      <w:color w:val="0000FF"/>
      <w:u w:val="single"/>
    </w:rPr>
  </w:style>
  <w:style w:type="character" w:styleId="13">
    <w:name w:val="Strong"/>
    <w:qFormat/>
    <w:uiPriority w:val="0"/>
    <w:rPr>
      <w:b/>
      <w:bCs/>
    </w:rPr>
  </w:style>
  <w:style w:type="table" w:styleId="14">
    <w:name w:val="Table Grid"/>
    <w:basedOn w:val="4"/>
    <w:uiPriority w:val="59"/>
    <w:pPr>
      <w:spacing w:after="0" w:line="240" w:lineRule="auto"/>
    </w:pPr>
    <w:rPr>
      <w:rFonts w:ascii="Calibri" w:hAnsi="Calibri" w:eastAsia="Calibri" w:cs="Times New Roman"/>
      <w:sz w:val="20"/>
      <w:szCs w:val="20"/>
      <w:lang w:val="ru-RU"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5">
    <w:name w:val="Заголовок 11"/>
    <w:basedOn w:val="1"/>
    <w:next w:val="1"/>
    <w:qFormat/>
    <w:uiPriority w:val="9"/>
    <w:pPr>
      <w:keepNext/>
      <w:keepLines/>
      <w:spacing w:before="240" w:after="0"/>
      <w:outlineLvl w:val="0"/>
    </w:pPr>
    <w:rPr>
      <w:rFonts w:ascii="Calibri Light" w:hAnsi="Calibri Light" w:eastAsia="Times New Roman" w:cs="Times New Roman"/>
      <w:color w:val="2F5496"/>
      <w:sz w:val="32"/>
      <w:szCs w:val="32"/>
      <w:lang w:val="ru-RU"/>
    </w:rPr>
  </w:style>
  <w:style w:type="paragraph" w:customStyle="1" w:styleId="16">
    <w:name w:val="rvps12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17">
    <w:name w:val="rvps14"/>
    <w:basedOn w:val="1"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styleId="18">
    <w:name w:val="List Paragraph"/>
    <w:basedOn w:val="1"/>
    <w:link w:val="30"/>
    <w:qFormat/>
    <w:uiPriority w:val="34"/>
    <w:pPr>
      <w:ind w:left="720"/>
      <w:contextualSpacing/>
    </w:pPr>
    <w:rPr>
      <w:rFonts w:ascii="Calibri" w:hAnsi="Calibri" w:eastAsia="Calibri" w:cs="Times New Roman"/>
      <w:lang w:val="ru-RU"/>
    </w:rPr>
  </w:style>
  <w:style w:type="paragraph" w:customStyle="1" w:styleId="19">
    <w:name w:val="Обычный (веб)1"/>
    <w:basedOn w:val="1"/>
    <w:unhideWhenUsed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/>
    </w:rPr>
  </w:style>
  <w:style w:type="paragraph" w:customStyle="1" w:styleId="20">
    <w:name w:val="Standard"/>
    <w:uiPriority w:val="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hAnsi="Liberation Serif" w:eastAsia="Segoe UI" w:cs="Tahoma"/>
      <w:color w:val="000000"/>
      <w:kern w:val="3"/>
      <w:sz w:val="24"/>
      <w:szCs w:val="24"/>
      <w:lang w:val="en-US" w:eastAsia="zh-CN" w:bidi="hi-IN"/>
    </w:rPr>
  </w:style>
  <w:style w:type="character" w:customStyle="1" w:styleId="21">
    <w:name w:val="st42"/>
    <w:qFormat/>
    <w:uiPriority w:val="99"/>
    <w:rPr>
      <w:color w:val="000000"/>
    </w:rPr>
  </w:style>
  <w:style w:type="character" w:customStyle="1" w:styleId="22">
    <w:name w:val="Unresolved Mention1"/>
    <w:semiHidden/>
    <w:unhideWhenUsed/>
    <w:uiPriority w:val="99"/>
    <w:rPr>
      <w:color w:val="605E5C"/>
      <w:shd w:val="clear" w:color="auto" w:fill="E1DFDD"/>
    </w:rPr>
  </w:style>
  <w:style w:type="character" w:customStyle="1" w:styleId="23">
    <w:name w:val="Текст выноски Знак"/>
    <w:basedOn w:val="3"/>
    <w:link w:val="5"/>
    <w:uiPriority w:val="0"/>
    <w:rPr>
      <w:rFonts w:ascii="Segoe UI" w:hAnsi="Segoe UI" w:eastAsia="Calibri" w:cs="Segoe UI"/>
      <w:sz w:val="18"/>
      <w:szCs w:val="18"/>
      <w:lang w:val="ru-RU"/>
    </w:rPr>
  </w:style>
  <w:style w:type="character" w:customStyle="1" w:styleId="24">
    <w:name w:val="Текст примечания Знак"/>
    <w:basedOn w:val="3"/>
    <w:link w:val="8"/>
    <w:semiHidden/>
    <w:uiPriority w:val="99"/>
    <w:rPr>
      <w:rFonts w:ascii="Calibri" w:hAnsi="Calibri" w:eastAsia="Calibri" w:cs="Times New Roman"/>
      <w:sz w:val="20"/>
      <w:szCs w:val="20"/>
      <w:lang w:val="ru-RU"/>
    </w:rPr>
  </w:style>
  <w:style w:type="character" w:customStyle="1" w:styleId="25">
    <w:name w:val="Тема примечания Знак"/>
    <w:basedOn w:val="24"/>
    <w:link w:val="9"/>
    <w:semiHidden/>
    <w:uiPriority w:val="99"/>
    <w:rPr>
      <w:rFonts w:ascii="Calibri" w:hAnsi="Calibri" w:eastAsia="Calibri" w:cs="Times New Roman"/>
      <w:b/>
      <w:bCs/>
      <w:sz w:val="20"/>
      <w:szCs w:val="20"/>
      <w:lang w:val="ru-RU"/>
    </w:rPr>
  </w:style>
  <w:style w:type="character" w:customStyle="1" w:styleId="26">
    <w:name w:val="Unresolved Mention"/>
    <w:basedOn w:val="3"/>
    <w:semiHidden/>
    <w:unhideWhenUsed/>
    <w:uiPriority w:val="99"/>
    <w:rPr>
      <w:color w:val="605E5C"/>
      <w:shd w:val="clear" w:color="auto" w:fill="E1DFDD"/>
    </w:rPr>
  </w:style>
  <w:style w:type="character" w:customStyle="1" w:styleId="27">
    <w:name w:val="Заголовок 1 Знак"/>
    <w:basedOn w:val="3"/>
    <w:link w:val="2"/>
    <w:uiPriority w:val="9"/>
    <w:rPr>
      <w:rFonts w:ascii="Calibri Light" w:hAnsi="Calibri Light" w:eastAsia="Times New Roman" w:cs="Times New Roman"/>
      <w:color w:val="2F5496"/>
      <w:sz w:val="32"/>
      <w:szCs w:val="32"/>
      <w:lang w:eastAsia="en-US"/>
    </w:rPr>
  </w:style>
  <w:style w:type="paragraph" w:styleId="28">
    <w:name w:val="No Spacing"/>
    <w:link w:val="29"/>
    <w:qFormat/>
    <w:uiPriority w:val="1"/>
    <w:pPr>
      <w:spacing w:after="120" w:line="276" w:lineRule="auto"/>
    </w:pPr>
    <w:rPr>
      <w:rFonts w:ascii="Calibri" w:hAnsi="Calibri" w:eastAsia="Calibri" w:cs="Calibri"/>
      <w:sz w:val="22"/>
      <w:szCs w:val="22"/>
      <w:lang w:val="uk-UA" w:eastAsia="uk-UA" w:bidi="ar-SA"/>
    </w:rPr>
  </w:style>
  <w:style w:type="character" w:customStyle="1" w:styleId="29">
    <w:name w:val="Без интервала Знак"/>
    <w:link w:val="28"/>
    <w:uiPriority w:val="1"/>
    <w:rPr>
      <w:rFonts w:ascii="Calibri" w:hAnsi="Calibri" w:eastAsia="Calibri" w:cs="Calibri"/>
      <w:lang w:eastAsia="uk-UA"/>
    </w:rPr>
  </w:style>
  <w:style w:type="character" w:customStyle="1" w:styleId="30">
    <w:name w:val="Абзац списка Знак"/>
    <w:link w:val="18"/>
    <w:uiPriority w:val="34"/>
    <w:rPr>
      <w:rFonts w:ascii="Calibri" w:hAnsi="Calibri" w:eastAsia="Calibri" w:cs="Times New Roman"/>
      <w:lang w:val="ru-RU"/>
    </w:rPr>
  </w:style>
  <w:style w:type="character" w:customStyle="1" w:styleId="31">
    <w:name w:val="rvts23"/>
    <w:qFormat/>
    <w:uiPriority w:val="0"/>
    <w:rPr>
      <w:rFonts w:hint="default" w:ascii="Times New Roman" w:hAnsi="Times New Roman" w:cs="Times New Roman"/>
    </w:rPr>
  </w:style>
  <w:style w:type="character" w:customStyle="1" w:styleId="32">
    <w:name w:val="ng-binding"/>
    <w:uiPriority w:val="0"/>
  </w:style>
  <w:style w:type="paragraph" w:customStyle="1" w:styleId="33">
    <w:name w:val="Основной текст с отступом 21"/>
    <w:basedOn w:val="1"/>
    <w:qFormat/>
    <w:uiPriority w:val="99"/>
    <w:pPr>
      <w:widowControl w:val="0"/>
      <w:suppressAutoHyphens/>
      <w:spacing w:after="0" w:line="240" w:lineRule="auto"/>
      <w:ind w:firstLine="567"/>
      <w:jc w:val="both"/>
    </w:pPr>
    <w:rPr>
      <w:rFonts w:ascii="Arial" w:hAnsi="Arial" w:eastAsia="Times New Roman" w:cs="Arial"/>
      <w:kern w:val="2"/>
      <w:sz w:val="28"/>
      <w:szCs w:val="28"/>
      <w:lang w:eastAsia="uk-UA"/>
    </w:rPr>
  </w:style>
  <w:style w:type="table" w:customStyle="1" w:styleId="34">
    <w:name w:val="Сетка таблицы1"/>
    <w:basedOn w:val="4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uk-U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35">
    <w:name w:val="st"/>
    <w:qFormat/>
    <w:uiPriority w:val="0"/>
  </w:style>
  <w:style w:type="character" w:customStyle="1" w:styleId="36">
    <w:name w:val="Схема документа Знак"/>
    <w:basedOn w:val="3"/>
    <w:link w:val="10"/>
    <w:semiHidden/>
    <w:qFormat/>
    <w:uiPriority w:val="0"/>
    <w:rPr>
      <w:rFonts w:ascii="Tahoma" w:hAnsi="Tahoma" w:eastAsia="Times New Roman" w:cs="Tahoma"/>
      <w:sz w:val="20"/>
      <w:szCs w:val="20"/>
      <w:shd w:val="clear" w:color="auto" w:fill="000080"/>
      <w:lang w:val="ru-RU" w:eastAsia="ru-RU"/>
    </w:rPr>
  </w:style>
  <w:style w:type="character" w:customStyle="1" w:styleId="37">
    <w:name w:val="gi"/>
    <w:basedOn w:val="3"/>
    <w:qFormat/>
    <w:uiPriority w:val="0"/>
  </w:style>
  <w:style w:type="character" w:customStyle="1" w:styleId="38">
    <w:name w:val="Заголовок 1 Знак1"/>
    <w:basedOn w:val="3"/>
    <w:uiPriority w:val="9"/>
    <w:rPr>
      <w:rFonts w:asciiTheme="majorHAnsi" w:hAnsiTheme="majorHAnsi" w:eastAsiaTheme="majorEastAsia" w:cstheme="majorBidi"/>
      <w:color w:val="2E75B6" w:themeColor="accent1" w:themeShade="BF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3378</Words>
  <Characters>1927</Characters>
  <Lines>16</Lines>
  <Paragraphs>10</Paragraphs>
  <TotalTime>1</TotalTime>
  <ScaleCrop>false</ScaleCrop>
  <LinksUpToDate>false</LinksUpToDate>
  <CharactersWithSpaces>5295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2023-08-07T13:11:00Z</dcterms:created>
  <dc:creator>Asus</dc:creator>
  <cp:lastModifiedBy>Asus</cp:lastModifiedBy>
  <dcterms:modified xsi:type="dcterms:W3CDTF">2024-06-04T06:48:17Z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1033-12.2.0.16909</vt:lpwstr>
  </property>
  <property fmtid="{D5CDD505-2E9C-101B-9397-08002B2CF9AE}" pid="3" name="ICV">
    <vt:lpwstr>FF5CE4F31A634B0DAF446EF90059B363_12</vt:lpwstr>
  </property>
</Properties>
</file>